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38C3" w14:textId="2C847C06" w:rsidR="00CE771F" w:rsidRDefault="00F42316" w:rsidP="00141283">
      <w:pPr>
        <w:jc w:val="both"/>
        <w:rPr>
          <w:rFonts w:ascii="Arial" w:eastAsia="Arial" w:hAnsi="Arial" w:cs="Arial"/>
          <w:color w:val="4D4D4D"/>
          <w:sz w:val="24"/>
          <w:szCs w:val="24"/>
        </w:rPr>
      </w:pPr>
      <w:r>
        <w:pict w14:anchorId="0F103E84">
          <v:rect id="Obdélník 1163788446" o:spid="_x0000_s2050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E771F">
        <w:rPr>
          <w:noProof/>
          <w:lang w:eastAsia="cs-CZ"/>
        </w:rPr>
        <w:drawing>
          <wp:anchor distT="0" distB="0" distL="114300" distR="114300" simplePos="0" relativeHeight="251658243" behindDoc="0" locked="0" layoutInCell="1" hidden="0" allowOverlap="1" wp14:anchorId="280A9E61" wp14:editId="7196AA73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419350" cy="904875"/>
            <wp:effectExtent l="0" t="0" r="0" b="9525"/>
            <wp:wrapSquare wrapText="bothSides" distT="0" distB="0" distL="114300" distR="114300"/>
            <wp:docPr id="1968561242" name="image1.png" descr="Obsah obrázku text, Písmo, Grafika, logo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text, Písmo, Grafika, logo&#10;&#10;Popis byl vytvořen automaticky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A8E5A5" w14:textId="09FD012C" w:rsidR="00CE771F" w:rsidRDefault="00CE771F" w:rsidP="00141283">
      <w:pPr>
        <w:jc w:val="both"/>
        <w:rPr>
          <w:rFonts w:ascii="Arial" w:eastAsia="Arial" w:hAnsi="Arial" w:cs="Arial"/>
          <w:color w:val="4D4D4D"/>
          <w:sz w:val="24"/>
          <w:szCs w:val="24"/>
        </w:rPr>
      </w:pPr>
    </w:p>
    <w:p w14:paraId="7D75681E" w14:textId="6FF1DBA7" w:rsidR="005442BF" w:rsidRPr="00F65952" w:rsidRDefault="00C8584F" w:rsidP="00141283">
      <w:pPr>
        <w:jc w:val="both"/>
        <w:rPr>
          <w:rFonts w:ascii="Arial" w:eastAsia="Arial" w:hAnsi="Arial" w:cs="Arial"/>
          <w:color w:val="4D4D4D"/>
          <w:sz w:val="24"/>
          <w:szCs w:val="24"/>
          <w:highlight w:val="white"/>
        </w:rPr>
      </w:pPr>
      <w:r w:rsidRPr="00F65952">
        <w:rPr>
          <w:rFonts w:ascii="Arial" w:eastAsia="Arial" w:hAnsi="Arial" w:cs="Arial"/>
          <w:color w:val="4D4D4D"/>
          <w:sz w:val="24"/>
          <w:szCs w:val="24"/>
          <w:highlight w:val="white"/>
        </w:rPr>
        <w:t>5</w:t>
      </w:r>
      <w:r w:rsidR="00242C34" w:rsidRPr="00F65952">
        <w:rPr>
          <w:rFonts w:ascii="Arial" w:eastAsia="Arial" w:hAnsi="Arial" w:cs="Arial"/>
          <w:color w:val="4D4D4D"/>
          <w:sz w:val="24"/>
          <w:szCs w:val="24"/>
          <w:highlight w:val="white"/>
        </w:rPr>
        <w:t xml:space="preserve">. </w:t>
      </w:r>
      <w:r w:rsidRPr="00F65952">
        <w:rPr>
          <w:rFonts w:ascii="Arial" w:eastAsia="Arial" w:hAnsi="Arial" w:cs="Arial"/>
          <w:color w:val="4D4D4D"/>
          <w:sz w:val="24"/>
          <w:szCs w:val="24"/>
          <w:highlight w:val="white"/>
        </w:rPr>
        <w:t>6</w:t>
      </w:r>
      <w:r w:rsidR="00242C34" w:rsidRPr="00F65952">
        <w:rPr>
          <w:rFonts w:ascii="Arial" w:eastAsia="Arial" w:hAnsi="Arial" w:cs="Arial"/>
          <w:color w:val="4D4D4D"/>
          <w:sz w:val="24"/>
          <w:szCs w:val="24"/>
          <w:highlight w:val="white"/>
        </w:rPr>
        <w:t>.</w:t>
      </w:r>
      <w:r w:rsidR="00963E33" w:rsidRPr="00F65952">
        <w:rPr>
          <w:rFonts w:ascii="Arial" w:eastAsia="Arial" w:hAnsi="Arial" w:cs="Arial"/>
          <w:color w:val="4D4D4D"/>
          <w:sz w:val="24"/>
          <w:szCs w:val="24"/>
          <w:highlight w:val="white"/>
        </w:rPr>
        <w:t xml:space="preserve"> 2025 </w:t>
      </w:r>
    </w:p>
    <w:p w14:paraId="1C284468" w14:textId="77777777" w:rsidR="005442BF" w:rsidRDefault="005442BF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4FD506D9" w14:textId="5DA56B05" w:rsidR="005442BF" w:rsidRDefault="000A5CD2" w:rsidP="00141283">
      <w:pPr>
        <w:jc w:val="both"/>
        <w:rPr>
          <w:rFonts w:ascii="Arial" w:eastAsia="Arial" w:hAnsi="Arial" w:cs="Arial"/>
          <w:b/>
          <w:color w:val="0EA1BD"/>
          <w:sz w:val="36"/>
          <w:szCs w:val="36"/>
          <w:highlight w:val="white"/>
        </w:rPr>
      </w:pPr>
      <w:r>
        <w:rPr>
          <w:rFonts w:ascii="Arial" w:eastAsia="Arial" w:hAnsi="Arial" w:cs="Arial"/>
          <w:b/>
          <w:color w:val="0EA1BD"/>
          <w:sz w:val="36"/>
          <w:szCs w:val="36"/>
          <w:highlight w:val="white"/>
        </w:rPr>
        <w:t>Zájem o nebankovní úvěry vzrostl</w:t>
      </w:r>
      <w:r w:rsidR="006C0D23">
        <w:rPr>
          <w:rFonts w:ascii="Arial" w:eastAsia="Arial" w:hAnsi="Arial" w:cs="Arial"/>
          <w:b/>
          <w:color w:val="0EA1BD"/>
          <w:sz w:val="36"/>
          <w:szCs w:val="36"/>
          <w:highlight w:val="white"/>
        </w:rPr>
        <w:t xml:space="preserve">, </w:t>
      </w:r>
      <w:r w:rsidR="005F0F23">
        <w:rPr>
          <w:rFonts w:ascii="Arial" w:eastAsia="Arial" w:hAnsi="Arial" w:cs="Arial"/>
          <w:b/>
          <w:color w:val="0EA1BD"/>
          <w:sz w:val="36"/>
          <w:szCs w:val="36"/>
          <w:highlight w:val="white"/>
        </w:rPr>
        <w:t xml:space="preserve">polovinu žádostí </w:t>
      </w:r>
      <w:r w:rsidR="00EA7444">
        <w:rPr>
          <w:rFonts w:ascii="Arial" w:eastAsia="Arial" w:hAnsi="Arial" w:cs="Arial"/>
          <w:b/>
          <w:color w:val="0EA1BD"/>
          <w:sz w:val="36"/>
          <w:szCs w:val="36"/>
          <w:highlight w:val="white"/>
        </w:rPr>
        <w:t xml:space="preserve">ale </w:t>
      </w:r>
      <w:r w:rsidR="005F0F23">
        <w:rPr>
          <w:rFonts w:ascii="Arial" w:eastAsia="Arial" w:hAnsi="Arial" w:cs="Arial"/>
          <w:b/>
          <w:color w:val="0EA1BD"/>
          <w:sz w:val="36"/>
          <w:szCs w:val="36"/>
          <w:highlight w:val="white"/>
        </w:rPr>
        <w:t>poskytovatelé odmít</w:t>
      </w:r>
      <w:r w:rsidR="00EA7444">
        <w:rPr>
          <w:rFonts w:ascii="Arial" w:eastAsia="Arial" w:hAnsi="Arial" w:cs="Arial"/>
          <w:b/>
          <w:color w:val="0EA1BD"/>
          <w:sz w:val="36"/>
          <w:szCs w:val="36"/>
          <w:highlight w:val="white"/>
        </w:rPr>
        <w:t>li</w:t>
      </w:r>
    </w:p>
    <w:p w14:paraId="572C94E8" w14:textId="40ABA02F" w:rsidR="007370CD" w:rsidRPr="00DA67FF" w:rsidRDefault="00BD6BAE" w:rsidP="00141283">
      <w:pPr>
        <w:jc w:val="both"/>
        <w:rPr>
          <w:rFonts w:ascii="Arial" w:eastAsia="Arial" w:hAnsi="Arial" w:cs="Arial"/>
          <w:b/>
          <w:color w:val="0EA1BD"/>
          <w:sz w:val="32"/>
          <w:szCs w:val="32"/>
          <w:highlight w:val="white"/>
        </w:rPr>
      </w:pPr>
      <w:r>
        <w:rPr>
          <w:rFonts w:ascii="Arial" w:eastAsia="Arial" w:hAnsi="Arial" w:cs="Arial"/>
          <w:bCs/>
          <w:color w:val="0EA1BD"/>
          <w:sz w:val="28"/>
          <w:szCs w:val="28"/>
          <w:highlight w:val="white"/>
        </w:rPr>
        <w:t xml:space="preserve">Asociace poskytovatelů nebankovních </w:t>
      </w:r>
      <w:r w:rsidR="00DA54D1">
        <w:rPr>
          <w:rFonts w:ascii="Arial" w:eastAsia="Arial" w:hAnsi="Arial" w:cs="Arial"/>
          <w:bCs/>
          <w:color w:val="0EA1BD"/>
          <w:sz w:val="28"/>
          <w:szCs w:val="28"/>
          <w:highlight w:val="white"/>
        </w:rPr>
        <w:t>úvěrů</w:t>
      </w:r>
      <w:r>
        <w:rPr>
          <w:rFonts w:ascii="Arial" w:eastAsia="Arial" w:hAnsi="Arial" w:cs="Arial"/>
          <w:bCs/>
          <w:color w:val="0EA1BD"/>
          <w:sz w:val="28"/>
          <w:szCs w:val="28"/>
          <w:highlight w:val="white"/>
        </w:rPr>
        <w:t xml:space="preserve"> aktivně </w:t>
      </w:r>
      <w:r w:rsidR="000C22CC">
        <w:rPr>
          <w:rFonts w:ascii="Arial" w:eastAsia="Arial" w:hAnsi="Arial" w:cs="Arial"/>
          <w:bCs/>
          <w:color w:val="0EA1BD"/>
          <w:sz w:val="28"/>
          <w:szCs w:val="28"/>
          <w:highlight w:val="white"/>
        </w:rPr>
        <w:t xml:space="preserve">kultivuje trh, </w:t>
      </w:r>
      <w:r w:rsidR="004E37C2">
        <w:rPr>
          <w:rFonts w:ascii="Arial" w:eastAsia="Arial" w:hAnsi="Arial" w:cs="Arial"/>
          <w:bCs/>
          <w:color w:val="0EA1BD"/>
          <w:sz w:val="28"/>
          <w:szCs w:val="28"/>
          <w:highlight w:val="white"/>
        </w:rPr>
        <w:t xml:space="preserve">v roce 2024 </w:t>
      </w:r>
      <w:r w:rsidR="00386B5D">
        <w:rPr>
          <w:rFonts w:ascii="Arial" w:eastAsia="Arial" w:hAnsi="Arial" w:cs="Arial"/>
          <w:bCs/>
          <w:color w:val="0EA1BD"/>
          <w:sz w:val="28"/>
          <w:szCs w:val="28"/>
          <w:highlight w:val="white"/>
        </w:rPr>
        <w:t>provedla 2,5 miliónů prověření v registrech</w:t>
      </w:r>
    </w:p>
    <w:p w14:paraId="528C934B" w14:textId="14675EE1" w:rsidR="00B5328D" w:rsidRDefault="00B5328D" w:rsidP="00B5328D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Objem nebankovních úvěrů </w:t>
      </w:r>
      <w:r w:rsidR="00A5697F">
        <w:rPr>
          <w:rFonts w:ascii="Arial" w:eastAsia="Arial" w:hAnsi="Arial" w:cs="Arial"/>
          <w:b/>
        </w:rPr>
        <w:t xml:space="preserve">poskytnutých členy APNÚ </w:t>
      </w:r>
      <w:r>
        <w:rPr>
          <w:rFonts w:ascii="Arial" w:eastAsia="Arial" w:hAnsi="Arial" w:cs="Arial"/>
          <w:b/>
        </w:rPr>
        <w:t>za rok 2024 se blíží k 7 miliardám Kč</w:t>
      </w:r>
    </w:p>
    <w:p w14:paraId="6BBCFB09" w14:textId="264B318B" w:rsidR="00D064FA" w:rsidRDefault="00A314E6" w:rsidP="00141283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Celkový objem nebankovních úvěrů roste</w:t>
      </w:r>
      <w:r w:rsidR="00B000E1">
        <w:rPr>
          <w:rFonts w:ascii="Arial" w:eastAsia="Arial" w:hAnsi="Arial" w:cs="Arial"/>
          <w:b/>
        </w:rPr>
        <w:t>, 38 % tvoří neúčelové úvěry do 12 měsíců</w:t>
      </w:r>
      <w:r w:rsidR="008E598C">
        <w:rPr>
          <w:rFonts w:ascii="Arial" w:eastAsia="Arial" w:hAnsi="Arial" w:cs="Arial"/>
          <w:b/>
        </w:rPr>
        <w:t xml:space="preserve"> a 35 % </w:t>
      </w:r>
      <w:r w:rsidR="005400C0">
        <w:rPr>
          <w:rFonts w:ascii="Arial" w:eastAsia="Arial" w:hAnsi="Arial" w:cs="Arial"/>
          <w:b/>
        </w:rPr>
        <w:t>neúčelové půjčky nad 12 měsíců</w:t>
      </w:r>
    </w:p>
    <w:p w14:paraId="42078FBE" w14:textId="7486C3F3" w:rsidR="002575C8" w:rsidRDefault="00295892" w:rsidP="00141283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APNÚ aktivně zlepšuje kritéria </w:t>
      </w:r>
      <w:r w:rsidR="003E7A8E">
        <w:rPr>
          <w:rFonts w:ascii="Arial" w:eastAsia="Arial" w:hAnsi="Arial" w:cs="Arial"/>
          <w:b/>
        </w:rPr>
        <w:t xml:space="preserve">pro posuzování </w:t>
      </w:r>
      <w:r>
        <w:rPr>
          <w:rFonts w:ascii="Arial" w:eastAsia="Arial" w:hAnsi="Arial" w:cs="Arial"/>
          <w:b/>
        </w:rPr>
        <w:t xml:space="preserve">úvěruschopnosti, </w:t>
      </w:r>
      <w:r w:rsidR="003E7A8E">
        <w:rPr>
          <w:rFonts w:ascii="Arial" w:eastAsia="Arial" w:hAnsi="Arial" w:cs="Arial"/>
          <w:b/>
        </w:rPr>
        <w:t xml:space="preserve">členové </w:t>
      </w:r>
      <w:r w:rsidR="0080138E">
        <w:rPr>
          <w:rFonts w:ascii="Arial" w:eastAsia="Arial" w:hAnsi="Arial" w:cs="Arial"/>
          <w:b/>
        </w:rPr>
        <w:t xml:space="preserve">se povinně </w:t>
      </w:r>
      <w:r w:rsidR="003E7A8E">
        <w:rPr>
          <w:rFonts w:ascii="Arial" w:eastAsia="Arial" w:hAnsi="Arial" w:cs="Arial"/>
          <w:b/>
        </w:rPr>
        <w:t xml:space="preserve">řídí etickým kodexem, </w:t>
      </w:r>
      <w:r w:rsidR="009E23B1">
        <w:rPr>
          <w:rFonts w:ascii="Arial" w:eastAsia="Arial" w:hAnsi="Arial" w:cs="Arial"/>
          <w:b/>
        </w:rPr>
        <w:t xml:space="preserve">reportují a nahlížejí do </w:t>
      </w:r>
      <w:r w:rsidR="004B28CE">
        <w:rPr>
          <w:rFonts w:ascii="Arial" w:eastAsia="Arial" w:hAnsi="Arial" w:cs="Arial"/>
          <w:b/>
        </w:rPr>
        <w:t xml:space="preserve">úvěrových </w:t>
      </w:r>
      <w:r w:rsidR="00340865">
        <w:rPr>
          <w:rFonts w:ascii="Arial" w:eastAsia="Arial" w:hAnsi="Arial" w:cs="Arial"/>
          <w:b/>
        </w:rPr>
        <w:t xml:space="preserve">registrů a </w:t>
      </w:r>
      <w:r w:rsidR="0080138E">
        <w:rPr>
          <w:rFonts w:ascii="Arial" w:eastAsia="Arial" w:hAnsi="Arial" w:cs="Arial"/>
          <w:b/>
        </w:rPr>
        <w:t xml:space="preserve">letos </w:t>
      </w:r>
      <w:r w:rsidR="00225732">
        <w:rPr>
          <w:rFonts w:ascii="Arial" w:eastAsia="Arial" w:hAnsi="Arial" w:cs="Arial"/>
          <w:b/>
        </w:rPr>
        <w:t xml:space="preserve">iniciovali </w:t>
      </w:r>
      <w:r w:rsidR="00840678">
        <w:rPr>
          <w:rFonts w:ascii="Arial" w:eastAsia="Arial" w:hAnsi="Arial" w:cs="Arial"/>
          <w:b/>
        </w:rPr>
        <w:t>založení nového</w:t>
      </w:r>
      <w:r w:rsidR="00340865">
        <w:rPr>
          <w:rFonts w:ascii="Arial" w:eastAsia="Arial" w:hAnsi="Arial" w:cs="Arial"/>
          <w:b/>
        </w:rPr>
        <w:t xml:space="preserve"> </w:t>
      </w:r>
      <w:r w:rsidR="009E23B1">
        <w:rPr>
          <w:rFonts w:ascii="Arial" w:eastAsia="Arial" w:hAnsi="Arial" w:cs="Arial"/>
          <w:b/>
        </w:rPr>
        <w:t xml:space="preserve">APNÚ </w:t>
      </w:r>
      <w:r w:rsidR="00156F6C">
        <w:rPr>
          <w:rFonts w:ascii="Arial" w:eastAsia="Arial" w:hAnsi="Arial" w:cs="Arial"/>
          <w:b/>
        </w:rPr>
        <w:t>R</w:t>
      </w:r>
      <w:r w:rsidR="009E23B1">
        <w:rPr>
          <w:rFonts w:ascii="Arial" w:eastAsia="Arial" w:hAnsi="Arial" w:cs="Arial"/>
          <w:b/>
        </w:rPr>
        <w:t>egistr</w:t>
      </w:r>
      <w:r w:rsidR="00840678">
        <w:rPr>
          <w:rFonts w:ascii="Arial" w:eastAsia="Arial" w:hAnsi="Arial" w:cs="Arial"/>
          <w:b/>
        </w:rPr>
        <w:t>u</w:t>
      </w:r>
    </w:p>
    <w:p w14:paraId="756DEC0E" w14:textId="751A86A9" w:rsidR="0089167C" w:rsidRDefault="00A15BC4" w:rsidP="00141283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Počet </w:t>
      </w:r>
      <w:r w:rsidR="005C4935">
        <w:rPr>
          <w:rFonts w:ascii="Arial" w:eastAsia="Arial" w:hAnsi="Arial" w:cs="Arial"/>
          <w:b/>
        </w:rPr>
        <w:t xml:space="preserve">žádostí o </w:t>
      </w:r>
      <w:r w:rsidR="00C978C2">
        <w:rPr>
          <w:rFonts w:ascii="Arial" w:eastAsia="Arial" w:hAnsi="Arial" w:cs="Arial"/>
          <w:b/>
        </w:rPr>
        <w:t xml:space="preserve">úvěry </w:t>
      </w:r>
      <w:r>
        <w:rPr>
          <w:rFonts w:ascii="Arial" w:eastAsia="Arial" w:hAnsi="Arial" w:cs="Arial"/>
          <w:b/>
        </w:rPr>
        <w:t xml:space="preserve">vzrostl, ale </w:t>
      </w:r>
      <w:r w:rsidR="00F62A01">
        <w:rPr>
          <w:rFonts w:ascii="Arial" w:eastAsia="Arial" w:hAnsi="Arial" w:cs="Arial"/>
          <w:b/>
        </w:rPr>
        <w:t xml:space="preserve">stejně tak </w:t>
      </w:r>
      <w:r w:rsidR="00E57EB4">
        <w:rPr>
          <w:rFonts w:ascii="Arial" w:eastAsia="Arial" w:hAnsi="Arial" w:cs="Arial"/>
          <w:b/>
        </w:rPr>
        <w:t xml:space="preserve">se zvýšila i </w:t>
      </w:r>
      <w:r>
        <w:rPr>
          <w:rFonts w:ascii="Arial" w:eastAsia="Arial" w:hAnsi="Arial" w:cs="Arial"/>
          <w:b/>
        </w:rPr>
        <w:t xml:space="preserve">míra </w:t>
      </w:r>
      <w:r w:rsidR="008D6835">
        <w:rPr>
          <w:rFonts w:ascii="Arial" w:eastAsia="Arial" w:hAnsi="Arial" w:cs="Arial"/>
          <w:b/>
        </w:rPr>
        <w:t>zamítnut</w:t>
      </w:r>
      <w:r w:rsidR="00F62A01">
        <w:rPr>
          <w:rFonts w:ascii="Arial" w:eastAsia="Arial" w:hAnsi="Arial" w:cs="Arial"/>
          <w:b/>
        </w:rPr>
        <w:t>í</w:t>
      </w:r>
      <w:r w:rsidR="008D6835">
        <w:rPr>
          <w:rFonts w:ascii="Arial" w:eastAsia="Arial" w:hAnsi="Arial" w:cs="Arial"/>
          <w:b/>
        </w:rPr>
        <w:t xml:space="preserve">, v roce 2024 dosáhla </w:t>
      </w:r>
      <w:r w:rsidR="00F06222">
        <w:rPr>
          <w:rFonts w:ascii="Arial" w:eastAsia="Arial" w:hAnsi="Arial" w:cs="Arial"/>
          <w:b/>
        </w:rPr>
        <w:t>5</w:t>
      </w:r>
      <w:r w:rsidR="009D71C7">
        <w:rPr>
          <w:rFonts w:ascii="Arial" w:eastAsia="Arial" w:hAnsi="Arial" w:cs="Arial"/>
          <w:b/>
        </w:rPr>
        <w:t>0,4</w:t>
      </w:r>
      <w:r w:rsidR="00F06222">
        <w:rPr>
          <w:rFonts w:ascii="Arial" w:eastAsia="Arial" w:hAnsi="Arial" w:cs="Arial"/>
          <w:b/>
        </w:rPr>
        <w:t xml:space="preserve"> %</w:t>
      </w:r>
      <w:r w:rsidR="00D06589">
        <w:rPr>
          <w:rFonts w:ascii="Arial" w:eastAsia="Arial" w:hAnsi="Arial" w:cs="Arial"/>
          <w:b/>
        </w:rPr>
        <w:t>*</w:t>
      </w:r>
    </w:p>
    <w:p w14:paraId="4B577BF8" w14:textId="68B9CCE8" w:rsidR="00DE397E" w:rsidRPr="00381200" w:rsidRDefault="00DB2A4D" w:rsidP="00141283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 w:rsidRPr="00381200">
        <w:rPr>
          <w:rFonts w:ascii="Arial" w:eastAsia="Arial" w:hAnsi="Arial" w:cs="Arial"/>
          <w:b/>
        </w:rPr>
        <w:t xml:space="preserve">Nejčastěji se zákazníci </w:t>
      </w:r>
      <w:r w:rsidR="00E57EB4">
        <w:rPr>
          <w:rFonts w:ascii="Arial" w:eastAsia="Arial" w:hAnsi="Arial" w:cs="Arial"/>
          <w:b/>
        </w:rPr>
        <w:t xml:space="preserve">členů </w:t>
      </w:r>
      <w:r w:rsidRPr="00381200">
        <w:rPr>
          <w:rFonts w:ascii="Arial" w:eastAsia="Arial" w:hAnsi="Arial" w:cs="Arial"/>
          <w:b/>
        </w:rPr>
        <w:t>APNÚ zadlužují kvůli nenadálým výdajům</w:t>
      </w:r>
    </w:p>
    <w:p w14:paraId="3196F1A8" w14:textId="63BE43AD" w:rsidR="00C75F07" w:rsidRPr="00381200" w:rsidRDefault="00DA56A5" w:rsidP="00141283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 w:rsidRPr="00381200">
        <w:rPr>
          <w:rFonts w:ascii="Arial" w:eastAsia="Arial" w:hAnsi="Arial" w:cs="Arial"/>
          <w:b/>
        </w:rPr>
        <w:t xml:space="preserve">Regulovaný nebankovní trh má své nezastupitelné místo </w:t>
      </w:r>
      <w:r w:rsidR="00E95A4B" w:rsidRPr="00381200">
        <w:rPr>
          <w:rFonts w:ascii="Arial" w:eastAsia="Arial" w:hAnsi="Arial" w:cs="Arial"/>
          <w:b/>
        </w:rPr>
        <w:t>na finanční</w:t>
      </w:r>
      <w:r w:rsidR="005A5C6E">
        <w:rPr>
          <w:rFonts w:ascii="Arial" w:eastAsia="Arial" w:hAnsi="Arial" w:cs="Arial"/>
          <w:b/>
        </w:rPr>
        <w:t>m</w:t>
      </w:r>
      <w:r w:rsidR="00E95A4B" w:rsidRPr="00381200">
        <w:rPr>
          <w:rFonts w:ascii="Arial" w:eastAsia="Arial" w:hAnsi="Arial" w:cs="Arial"/>
          <w:b/>
        </w:rPr>
        <w:t xml:space="preserve"> trhu v ČR, </w:t>
      </w:r>
      <w:r w:rsidR="005F32A7" w:rsidRPr="00381200">
        <w:rPr>
          <w:rFonts w:ascii="Arial" w:eastAsia="Arial" w:hAnsi="Arial" w:cs="Arial"/>
          <w:b/>
        </w:rPr>
        <w:t>asociace obsluhuje 152 tisíc zákazníků</w:t>
      </w:r>
      <w:r w:rsidR="00381200" w:rsidRPr="00381200">
        <w:rPr>
          <w:rFonts w:ascii="Arial" w:eastAsia="Arial" w:hAnsi="Arial" w:cs="Arial"/>
          <w:b/>
        </w:rPr>
        <w:t>, kteří jsou často pro banky rizikoví</w:t>
      </w:r>
    </w:p>
    <w:p w14:paraId="6B8E2D86" w14:textId="6D55624E" w:rsidR="00D57000" w:rsidRPr="00791899" w:rsidRDefault="00791899" w:rsidP="00141283">
      <w:pPr>
        <w:jc w:val="both"/>
        <w:rPr>
          <w:rFonts w:ascii="Arial" w:eastAsia="Arial" w:hAnsi="Arial" w:cs="Arial"/>
          <w:b/>
        </w:rPr>
      </w:pPr>
      <w:r w:rsidRPr="00791899">
        <w:rPr>
          <w:rFonts w:ascii="Arial" w:eastAsia="Arial" w:hAnsi="Arial" w:cs="Arial"/>
          <w:b/>
        </w:rPr>
        <w:t>Regulovaný nebankovní trh v </w:t>
      </w:r>
      <w:r w:rsidR="002B7D95">
        <w:rPr>
          <w:rFonts w:ascii="Arial" w:eastAsia="Arial" w:hAnsi="Arial" w:cs="Arial"/>
          <w:b/>
        </w:rPr>
        <w:t>Č</w:t>
      </w:r>
      <w:r w:rsidRPr="00791899">
        <w:rPr>
          <w:rFonts w:ascii="Arial" w:eastAsia="Arial" w:hAnsi="Arial" w:cs="Arial"/>
          <w:b/>
        </w:rPr>
        <w:t>eské republic</w:t>
      </w:r>
      <w:r w:rsidR="007762EA">
        <w:rPr>
          <w:rFonts w:ascii="Arial" w:eastAsia="Arial" w:hAnsi="Arial" w:cs="Arial"/>
          <w:b/>
        </w:rPr>
        <w:t>e</w:t>
      </w:r>
      <w:r w:rsidR="007A02E3">
        <w:rPr>
          <w:rFonts w:ascii="Arial" w:eastAsia="Arial" w:hAnsi="Arial" w:cs="Arial"/>
          <w:b/>
        </w:rPr>
        <w:t>, který se řídí současn</w:t>
      </w:r>
      <w:r w:rsidR="005065D7">
        <w:rPr>
          <w:rFonts w:ascii="Arial" w:eastAsia="Arial" w:hAnsi="Arial" w:cs="Arial"/>
          <w:b/>
        </w:rPr>
        <w:t>ou</w:t>
      </w:r>
      <w:r w:rsidR="007A02E3">
        <w:rPr>
          <w:rFonts w:ascii="Arial" w:eastAsia="Arial" w:hAnsi="Arial" w:cs="Arial"/>
          <w:b/>
        </w:rPr>
        <w:t xml:space="preserve"> legislativ</w:t>
      </w:r>
      <w:r w:rsidR="005065D7">
        <w:rPr>
          <w:rFonts w:ascii="Arial" w:eastAsia="Arial" w:hAnsi="Arial" w:cs="Arial"/>
          <w:b/>
        </w:rPr>
        <w:t>ou</w:t>
      </w:r>
      <w:r w:rsidR="002B7D95">
        <w:rPr>
          <w:rFonts w:ascii="Arial" w:eastAsia="Arial" w:hAnsi="Arial" w:cs="Arial"/>
          <w:b/>
        </w:rPr>
        <w:t>,</w:t>
      </w:r>
      <w:r w:rsidR="007A02E3">
        <w:rPr>
          <w:rFonts w:ascii="Arial" w:eastAsia="Arial" w:hAnsi="Arial" w:cs="Arial"/>
          <w:b/>
        </w:rPr>
        <w:t xml:space="preserve"> dokáže velmi dobře zajistit financování </w:t>
      </w:r>
      <w:r w:rsidR="00436BC9">
        <w:rPr>
          <w:rFonts w:ascii="Arial" w:eastAsia="Arial" w:hAnsi="Arial" w:cs="Arial"/>
          <w:b/>
        </w:rPr>
        <w:t xml:space="preserve">významné části společnosti. </w:t>
      </w:r>
      <w:r w:rsidR="00637545">
        <w:rPr>
          <w:rFonts w:ascii="Arial" w:eastAsia="Arial" w:hAnsi="Arial" w:cs="Arial"/>
          <w:b/>
        </w:rPr>
        <w:t>N</w:t>
      </w:r>
      <w:r w:rsidR="00C301F8">
        <w:rPr>
          <w:rFonts w:ascii="Arial" w:eastAsia="Arial" w:hAnsi="Arial" w:cs="Arial"/>
          <w:b/>
        </w:rPr>
        <w:t xml:space="preserve">ebankovní </w:t>
      </w:r>
      <w:r w:rsidR="003A04C8">
        <w:rPr>
          <w:rFonts w:ascii="Arial" w:eastAsia="Arial" w:hAnsi="Arial" w:cs="Arial"/>
          <w:b/>
        </w:rPr>
        <w:t>úvěry</w:t>
      </w:r>
      <w:r w:rsidR="00C301F8">
        <w:rPr>
          <w:rFonts w:ascii="Arial" w:eastAsia="Arial" w:hAnsi="Arial" w:cs="Arial"/>
          <w:b/>
        </w:rPr>
        <w:t xml:space="preserve"> představují </w:t>
      </w:r>
      <w:r w:rsidR="00B82575">
        <w:rPr>
          <w:rFonts w:ascii="Arial" w:eastAsia="Arial" w:hAnsi="Arial" w:cs="Arial"/>
          <w:b/>
        </w:rPr>
        <w:t>bezpečnou</w:t>
      </w:r>
      <w:r w:rsidR="00C301F8">
        <w:rPr>
          <w:rFonts w:ascii="Arial" w:eastAsia="Arial" w:hAnsi="Arial" w:cs="Arial"/>
          <w:b/>
        </w:rPr>
        <w:t xml:space="preserve"> alternativu pro lidi, kteří </w:t>
      </w:r>
      <w:r w:rsidR="00FC13B3">
        <w:rPr>
          <w:rFonts w:ascii="Arial" w:eastAsia="Arial" w:hAnsi="Arial" w:cs="Arial"/>
          <w:b/>
        </w:rPr>
        <w:t>potřebují rychle vyřešit nenadálý výdaj</w:t>
      </w:r>
      <w:r w:rsidR="0064529A">
        <w:rPr>
          <w:rFonts w:ascii="Arial" w:eastAsia="Arial" w:hAnsi="Arial" w:cs="Arial"/>
          <w:b/>
        </w:rPr>
        <w:t xml:space="preserve">. </w:t>
      </w:r>
      <w:r w:rsidR="00530487">
        <w:rPr>
          <w:rFonts w:ascii="Arial" w:eastAsia="Arial" w:hAnsi="Arial" w:cs="Arial"/>
          <w:b/>
        </w:rPr>
        <w:t>Tito zákazníci jsou pro banku často rizikoví</w:t>
      </w:r>
      <w:r w:rsidR="006A79A0">
        <w:rPr>
          <w:rFonts w:ascii="Arial" w:eastAsia="Arial" w:hAnsi="Arial" w:cs="Arial"/>
          <w:b/>
        </w:rPr>
        <w:t xml:space="preserve"> a</w:t>
      </w:r>
      <w:r w:rsidR="00530487">
        <w:rPr>
          <w:rFonts w:ascii="Arial" w:eastAsia="Arial" w:hAnsi="Arial" w:cs="Arial"/>
          <w:b/>
        </w:rPr>
        <w:t xml:space="preserve"> nemají</w:t>
      </w:r>
      <w:r w:rsidR="001A6B62">
        <w:rPr>
          <w:rFonts w:ascii="Arial" w:eastAsia="Arial" w:hAnsi="Arial" w:cs="Arial"/>
          <w:b/>
        </w:rPr>
        <w:t xml:space="preserve"> dostatečné</w:t>
      </w:r>
      <w:r w:rsidR="0033229F">
        <w:rPr>
          <w:rFonts w:ascii="Arial" w:eastAsia="Arial" w:hAnsi="Arial" w:cs="Arial"/>
          <w:b/>
        </w:rPr>
        <w:t xml:space="preserve"> úspory </w:t>
      </w:r>
      <w:r w:rsidR="006A79A0">
        <w:rPr>
          <w:rFonts w:ascii="Arial" w:eastAsia="Arial" w:hAnsi="Arial" w:cs="Arial"/>
          <w:b/>
        </w:rPr>
        <w:t>pro nečekané situace.</w:t>
      </w:r>
    </w:p>
    <w:p w14:paraId="7006FA2F" w14:textId="5F2123A1" w:rsidR="00265E0B" w:rsidRDefault="00EB7478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Theme="minorEastAsia" w:hAnsi="Arial" w:cs="Arial"/>
          <w:b/>
          <w:bCs/>
          <w:color w:val="0EA1BD"/>
          <w:lang w:eastAsia="cs-CZ"/>
        </w:rPr>
      </w:pPr>
      <w:r>
        <w:rPr>
          <w:rFonts w:ascii="Arial" w:eastAsiaTheme="minorEastAsia" w:hAnsi="Arial" w:cs="Arial"/>
          <w:b/>
          <w:bCs/>
          <w:color w:val="0EA1BD"/>
          <w:lang w:eastAsia="cs-CZ"/>
        </w:rPr>
        <w:t xml:space="preserve">Meziroční nárůst nebankovních úvěrů </w:t>
      </w:r>
      <w:r w:rsidR="00310D23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činní </w:t>
      </w:r>
      <w:r w:rsidR="00C71093">
        <w:rPr>
          <w:rFonts w:ascii="Arial" w:eastAsiaTheme="minorEastAsia" w:hAnsi="Arial" w:cs="Arial"/>
          <w:b/>
          <w:bCs/>
          <w:color w:val="0EA1BD"/>
          <w:lang w:eastAsia="cs-CZ"/>
        </w:rPr>
        <w:t>19</w:t>
      </w:r>
      <w:r>
        <w:rPr>
          <w:rFonts w:ascii="Arial" w:eastAsiaTheme="minorEastAsia" w:hAnsi="Arial" w:cs="Arial"/>
          <w:b/>
          <w:bCs/>
          <w:color w:val="0EA1BD"/>
          <w:lang w:eastAsia="cs-CZ"/>
        </w:rPr>
        <w:t xml:space="preserve"> %</w:t>
      </w:r>
    </w:p>
    <w:p w14:paraId="49BE99EC" w14:textId="77777777" w:rsidR="00EA7A86" w:rsidRDefault="00EA7A86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D6D9696" w14:textId="76F915C1" w:rsidR="00A4745C" w:rsidRDefault="005D1F3E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Asociace sdružuje </w:t>
      </w:r>
      <w:r w:rsidR="008C6679">
        <w:rPr>
          <w:rFonts w:ascii="Arial" w:eastAsia="Arial" w:hAnsi="Arial" w:cs="Arial"/>
          <w:color w:val="000000"/>
        </w:rPr>
        <w:t xml:space="preserve">14 </w:t>
      </w:r>
      <w:r>
        <w:rPr>
          <w:rFonts w:ascii="Arial" w:eastAsia="Arial" w:hAnsi="Arial" w:cs="Arial"/>
          <w:color w:val="000000"/>
        </w:rPr>
        <w:t>poskytovatel</w:t>
      </w:r>
      <w:r w:rsidR="008C6679">
        <w:rPr>
          <w:rFonts w:ascii="Arial" w:eastAsia="Arial" w:hAnsi="Arial" w:cs="Arial"/>
          <w:color w:val="000000"/>
        </w:rPr>
        <w:t>ů</w:t>
      </w:r>
      <w:r>
        <w:rPr>
          <w:rFonts w:ascii="Arial" w:eastAsia="Arial" w:hAnsi="Arial" w:cs="Arial"/>
          <w:color w:val="000000"/>
        </w:rPr>
        <w:t xml:space="preserve"> nebankovních úvěrů, kte</w:t>
      </w:r>
      <w:r w:rsidR="00825034">
        <w:rPr>
          <w:rFonts w:ascii="Arial" w:eastAsia="Arial" w:hAnsi="Arial" w:cs="Arial"/>
          <w:color w:val="000000"/>
        </w:rPr>
        <w:t>ří</w:t>
      </w:r>
      <w:r>
        <w:rPr>
          <w:rFonts w:ascii="Arial" w:eastAsia="Arial" w:hAnsi="Arial" w:cs="Arial"/>
          <w:color w:val="000000"/>
        </w:rPr>
        <w:t xml:space="preserve"> mají licenci ČNB</w:t>
      </w:r>
      <w:r w:rsidR="00CB7380">
        <w:rPr>
          <w:rFonts w:ascii="Arial" w:eastAsia="Arial" w:hAnsi="Arial" w:cs="Arial"/>
          <w:color w:val="000000"/>
        </w:rPr>
        <w:t>, podléhají dohledu</w:t>
      </w:r>
      <w:r w:rsidR="00897D4D">
        <w:rPr>
          <w:rFonts w:ascii="Arial" w:eastAsia="Arial" w:hAnsi="Arial" w:cs="Arial"/>
          <w:color w:val="000000"/>
        </w:rPr>
        <w:t xml:space="preserve"> a regulaci</w:t>
      </w:r>
      <w:r>
        <w:rPr>
          <w:rFonts w:ascii="Arial" w:eastAsia="Arial" w:hAnsi="Arial" w:cs="Arial"/>
          <w:color w:val="000000"/>
        </w:rPr>
        <w:t xml:space="preserve"> </w:t>
      </w:r>
      <w:r w:rsidR="00897D4D">
        <w:rPr>
          <w:rFonts w:ascii="Arial" w:eastAsia="Arial" w:hAnsi="Arial" w:cs="Arial"/>
          <w:color w:val="000000"/>
        </w:rPr>
        <w:t xml:space="preserve">centrální banky </w:t>
      </w:r>
      <w:r>
        <w:rPr>
          <w:rFonts w:ascii="Arial" w:eastAsia="Arial" w:hAnsi="Arial" w:cs="Arial"/>
          <w:color w:val="000000"/>
        </w:rPr>
        <w:t xml:space="preserve">a </w:t>
      </w:r>
      <w:r w:rsidR="0087273E">
        <w:rPr>
          <w:rFonts w:ascii="Arial" w:eastAsia="Arial" w:hAnsi="Arial" w:cs="Arial"/>
          <w:color w:val="000000"/>
        </w:rPr>
        <w:t>řídí s</w:t>
      </w:r>
      <w:r w:rsidR="00A959AA">
        <w:rPr>
          <w:rFonts w:ascii="Arial" w:eastAsia="Arial" w:hAnsi="Arial" w:cs="Arial"/>
          <w:color w:val="000000"/>
        </w:rPr>
        <w:t xml:space="preserve">e </w:t>
      </w:r>
      <w:r w:rsidR="00897D4D">
        <w:rPr>
          <w:rFonts w:ascii="Arial" w:eastAsia="Arial" w:hAnsi="Arial" w:cs="Arial"/>
          <w:color w:val="000000"/>
        </w:rPr>
        <w:t xml:space="preserve">vlastním </w:t>
      </w:r>
      <w:r w:rsidR="00A959AA">
        <w:rPr>
          <w:rFonts w:ascii="Arial" w:eastAsia="Arial" w:hAnsi="Arial" w:cs="Arial"/>
          <w:color w:val="000000"/>
        </w:rPr>
        <w:t>etick</w:t>
      </w:r>
      <w:r w:rsidR="005C54BF">
        <w:rPr>
          <w:rFonts w:ascii="Arial" w:eastAsia="Arial" w:hAnsi="Arial" w:cs="Arial"/>
          <w:color w:val="000000"/>
        </w:rPr>
        <w:t>ým</w:t>
      </w:r>
      <w:r w:rsidR="00A959AA">
        <w:rPr>
          <w:rFonts w:ascii="Arial" w:eastAsia="Arial" w:hAnsi="Arial" w:cs="Arial"/>
          <w:color w:val="000000"/>
        </w:rPr>
        <w:t xml:space="preserve"> kodex</w:t>
      </w:r>
      <w:r w:rsidR="005C54BF">
        <w:rPr>
          <w:rFonts w:ascii="Arial" w:eastAsia="Arial" w:hAnsi="Arial" w:cs="Arial"/>
          <w:color w:val="000000"/>
        </w:rPr>
        <w:t>em</w:t>
      </w:r>
      <w:r w:rsidR="00A959AA">
        <w:rPr>
          <w:rFonts w:ascii="Arial" w:eastAsia="Arial" w:hAnsi="Arial" w:cs="Arial"/>
          <w:color w:val="000000"/>
        </w:rPr>
        <w:t>. Poskytují úvěry významné části populace, která by jinak ne</w:t>
      </w:r>
      <w:r w:rsidR="0043483B">
        <w:rPr>
          <w:rFonts w:ascii="Arial" w:eastAsia="Arial" w:hAnsi="Arial" w:cs="Arial"/>
          <w:color w:val="000000"/>
        </w:rPr>
        <w:t xml:space="preserve">měla možnost legálního financování. Celkový objem </w:t>
      </w:r>
      <w:r w:rsidR="00EC55B9">
        <w:rPr>
          <w:rFonts w:ascii="Arial" w:eastAsia="Arial" w:hAnsi="Arial" w:cs="Arial"/>
          <w:color w:val="000000"/>
        </w:rPr>
        <w:t xml:space="preserve">úvěrů </w:t>
      </w:r>
      <w:r w:rsidR="000D335A">
        <w:rPr>
          <w:rFonts w:ascii="Arial" w:eastAsia="Arial" w:hAnsi="Arial" w:cs="Arial"/>
          <w:color w:val="000000"/>
        </w:rPr>
        <w:t xml:space="preserve">za rok 2024 </w:t>
      </w:r>
      <w:r w:rsidR="00EC55B9">
        <w:rPr>
          <w:rFonts w:ascii="Arial" w:eastAsia="Arial" w:hAnsi="Arial" w:cs="Arial"/>
          <w:color w:val="000000"/>
        </w:rPr>
        <w:t>dosáhl 6,</w:t>
      </w:r>
      <w:r w:rsidR="006118DC">
        <w:rPr>
          <w:rFonts w:ascii="Arial" w:eastAsia="Arial" w:hAnsi="Arial" w:cs="Arial"/>
          <w:color w:val="000000"/>
        </w:rPr>
        <w:t>9</w:t>
      </w:r>
      <w:r w:rsidR="00EC55B9">
        <w:rPr>
          <w:rFonts w:ascii="Arial" w:eastAsia="Arial" w:hAnsi="Arial" w:cs="Arial"/>
          <w:color w:val="000000"/>
        </w:rPr>
        <w:t xml:space="preserve"> mld. Kč</w:t>
      </w:r>
      <w:r w:rsidR="00D06589">
        <w:rPr>
          <w:rFonts w:ascii="Arial" w:eastAsia="Arial" w:hAnsi="Arial" w:cs="Arial"/>
          <w:color w:val="000000"/>
        </w:rPr>
        <w:t>*</w:t>
      </w:r>
      <w:r w:rsidR="0081502E">
        <w:rPr>
          <w:rFonts w:ascii="Arial" w:eastAsia="Arial" w:hAnsi="Arial" w:cs="Arial"/>
          <w:color w:val="000000"/>
        </w:rPr>
        <w:t>*</w:t>
      </w:r>
      <w:r w:rsidR="001F257C">
        <w:rPr>
          <w:rFonts w:ascii="Arial" w:eastAsia="Arial" w:hAnsi="Arial" w:cs="Arial"/>
          <w:color w:val="000000"/>
        </w:rPr>
        <w:t>, v roce 2023 se jednalo o 5,</w:t>
      </w:r>
      <w:r w:rsidR="006118DC">
        <w:rPr>
          <w:rFonts w:ascii="Arial" w:eastAsia="Arial" w:hAnsi="Arial" w:cs="Arial"/>
          <w:color w:val="000000"/>
        </w:rPr>
        <w:t>8</w:t>
      </w:r>
      <w:r w:rsidR="001F257C">
        <w:rPr>
          <w:rFonts w:ascii="Arial" w:eastAsia="Arial" w:hAnsi="Arial" w:cs="Arial"/>
          <w:color w:val="000000"/>
        </w:rPr>
        <w:t xml:space="preserve"> mld. Kč</w:t>
      </w:r>
      <w:r w:rsidR="0081502E">
        <w:rPr>
          <w:rFonts w:ascii="Arial" w:eastAsia="Arial" w:hAnsi="Arial" w:cs="Arial"/>
          <w:color w:val="000000"/>
          <w:lang w:val="en-US"/>
        </w:rPr>
        <w:t>*</w:t>
      </w:r>
      <w:r w:rsidR="00D06589">
        <w:rPr>
          <w:rFonts w:ascii="Arial" w:eastAsia="Arial" w:hAnsi="Arial" w:cs="Arial"/>
          <w:color w:val="000000"/>
          <w:lang w:val="en-US"/>
        </w:rPr>
        <w:t>*</w:t>
      </w:r>
      <w:r w:rsidR="003B16E8">
        <w:rPr>
          <w:rFonts w:ascii="Arial" w:eastAsia="Arial" w:hAnsi="Arial" w:cs="Arial"/>
          <w:color w:val="000000"/>
          <w:lang w:val="en-US"/>
        </w:rPr>
        <w:t>*</w:t>
      </w:r>
      <w:r w:rsidR="001F257C">
        <w:rPr>
          <w:rFonts w:ascii="Arial" w:eastAsia="Arial" w:hAnsi="Arial" w:cs="Arial"/>
          <w:color w:val="000000"/>
        </w:rPr>
        <w:t>.</w:t>
      </w:r>
      <w:r w:rsidR="003B16E8">
        <w:rPr>
          <w:rFonts w:ascii="Arial" w:eastAsia="Arial" w:hAnsi="Arial" w:cs="Arial"/>
          <w:color w:val="000000"/>
        </w:rPr>
        <w:t xml:space="preserve"> Největší podíl </w:t>
      </w:r>
      <w:r w:rsidR="00305CA8">
        <w:rPr>
          <w:rFonts w:ascii="Arial" w:eastAsia="Arial" w:hAnsi="Arial" w:cs="Arial"/>
          <w:color w:val="000000"/>
        </w:rPr>
        <w:t>mají</w:t>
      </w:r>
      <w:r w:rsidR="003B16E8">
        <w:rPr>
          <w:rFonts w:ascii="Arial" w:eastAsia="Arial" w:hAnsi="Arial" w:cs="Arial"/>
          <w:color w:val="000000"/>
        </w:rPr>
        <w:t xml:space="preserve"> úvěry do 12 měsíců</w:t>
      </w:r>
      <w:r w:rsidR="00174907">
        <w:rPr>
          <w:rFonts w:ascii="Arial" w:eastAsia="Arial" w:hAnsi="Arial" w:cs="Arial"/>
          <w:color w:val="000000"/>
        </w:rPr>
        <w:t xml:space="preserve"> (38 %), dlouhodobější úvěry tvoří </w:t>
      </w:r>
      <w:r w:rsidR="00635D74">
        <w:rPr>
          <w:rFonts w:ascii="Arial" w:eastAsia="Arial" w:hAnsi="Arial" w:cs="Arial"/>
          <w:color w:val="000000"/>
        </w:rPr>
        <w:t>35 %, revolvingové úvěry</w:t>
      </w:r>
      <w:r w:rsidR="0021602E">
        <w:rPr>
          <w:rFonts w:ascii="Arial" w:eastAsia="Arial" w:hAnsi="Arial" w:cs="Arial"/>
          <w:color w:val="000000"/>
        </w:rPr>
        <w:t xml:space="preserve"> představují čtvrtinu všech </w:t>
      </w:r>
      <w:r w:rsidR="00A4745C">
        <w:rPr>
          <w:rFonts w:ascii="Arial" w:eastAsia="Arial" w:hAnsi="Arial" w:cs="Arial"/>
          <w:color w:val="000000"/>
        </w:rPr>
        <w:t>úvěrů a pouh</w:t>
      </w:r>
      <w:r w:rsidR="004C45A1">
        <w:rPr>
          <w:rFonts w:ascii="Arial" w:eastAsia="Arial" w:hAnsi="Arial" w:cs="Arial"/>
          <w:color w:val="000000"/>
        </w:rPr>
        <w:t>á</w:t>
      </w:r>
      <w:r w:rsidR="00A4745C">
        <w:rPr>
          <w:rFonts w:ascii="Arial" w:eastAsia="Arial" w:hAnsi="Arial" w:cs="Arial"/>
          <w:color w:val="000000"/>
        </w:rPr>
        <w:t xml:space="preserve"> 2 % tvoří podnikatelské úvěry. </w:t>
      </w:r>
    </w:p>
    <w:p w14:paraId="04121AAF" w14:textId="77777777" w:rsidR="00952166" w:rsidRDefault="00952166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EE7AB3" w14:textId="0195BAD7" w:rsidR="00A72B89" w:rsidRDefault="005647A3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Celkový objem spotřebitelských úvěrů </w:t>
      </w:r>
      <w:r w:rsidR="00A4234E">
        <w:rPr>
          <w:rFonts w:ascii="Arial" w:eastAsia="Arial" w:hAnsi="Arial" w:cs="Arial"/>
          <w:color w:val="000000"/>
        </w:rPr>
        <w:t xml:space="preserve">na českém trhu za rok 2023 dle údajů Ministerstva financí </w:t>
      </w:r>
      <w:r w:rsidR="0063119D">
        <w:rPr>
          <w:rFonts w:ascii="Arial" w:eastAsia="Arial" w:hAnsi="Arial" w:cs="Arial"/>
          <w:color w:val="000000"/>
        </w:rPr>
        <w:t>představuje 55 miliard Kč</w:t>
      </w:r>
      <w:r w:rsidR="00AF478A">
        <w:rPr>
          <w:rFonts w:ascii="Arial" w:eastAsia="Arial" w:hAnsi="Arial" w:cs="Arial"/>
          <w:color w:val="000000"/>
        </w:rPr>
        <w:t>,</w:t>
      </w:r>
      <w:r w:rsidR="00B2734D">
        <w:rPr>
          <w:rFonts w:ascii="Arial" w:eastAsia="Arial" w:hAnsi="Arial" w:cs="Arial"/>
          <w:color w:val="000000"/>
        </w:rPr>
        <w:t xml:space="preserve"> podíl</w:t>
      </w:r>
      <w:r w:rsidR="00AF478A">
        <w:rPr>
          <w:rFonts w:ascii="Arial" w:eastAsia="Arial" w:hAnsi="Arial" w:cs="Arial"/>
          <w:color w:val="000000"/>
        </w:rPr>
        <w:t xml:space="preserve"> </w:t>
      </w:r>
      <w:r w:rsidR="00BE4B39">
        <w:rPr>
          <w:rFonts w:ascii="Arial" w:eastAsia="Arial" w:hAnsi="Arial" w:cs="Arial"/>
          <w:color w:val="000000"/>
        </w:rPr>
        <w:t xml:space="preserve">Asociace poskytovatelů nebankovních úvěrů </w:t>
      </w:r>
      <w:r w:rsidR="00B2734D">
        <w:rPr>
          <w:rFonts w:ascii="Arial" w:eastAsia="Arial" w:hAnsi="Arial" w:cs="Arial"/>
          <w:color w:val="000000"/>
        </w:rPr>
        <w:t xml:space="preserve">se </w:t>
      </w:r>
      <w:r w:rsidR="004D2F30">
        <w:rPr>
          <w:rFonts w:ascii="Arial" w:eastAsia="Arial" w:hAnsi="Arial" w:cs="Arial"/>
          <w:color w:val="000000"/>
        </w:rPr>
        <w:t xml:space="preserve">tedy </w:t>
      </w:r>
      <w:r w:rsidR="00B2734D">
        <w:rPr>
          <w:rFonts w:ascii="Arial" w:eastAsia="Arial" w:hAnsi="Arial" w:cs="Arial"/>
          <w:color w:val="000000"/>
        </w:rPr>
        <w:t xml:space="preserve">pohybuje mezi 11-13 %. Celkově </w:t>
      </w:r>
      <w:r w:rsidR="00D25665">
        <w:rPr>
          <w:rFonts w:ascii="Arial" w:eastAsia="Arial" w:hAnsi="Arial" w:cs="Arial"/>
          <w:color w:val="000000"/>
        </w:rPr>
        <w:t xml:space="preserve">členské společnosti </w:t>
      </w:r>
      <w:r w:rsidR="00B2734D">
        <w:rPr>
          <w:rFonts w:ascii="Arial" w:eastAsia="Arial" w:hAnsi="Arial" w:cs="Arial"/>
          <w:color w:val="000000"/>
        </w:rPr>
        <w:t>obsluhuj</w:t>
      </w:r>
      <w:r w:rsidR="00D25665">
        <w:rPr>
          <w:rFonts w:ascii="Arial" w:eastAsia="Arial" w:hAnsi="Arial" w:cs="Arial"/>
          <w:color w:val="000000"/>
        </w:rPr>
        <w:t>í</w:t>
      </w:r>
      <w:r w:rsidR="00B2734D">
        <w:rPr>
          <w:rFonts w:ascii="Arial" w:eastAsia="Arial" w:hAnsi="Arial" w:cs="Arial"/>
          <w:color w:val="000000"/>
        </w:rPr>
        <w:t xml:space="preserve"> 152 000 zákazníků. </w:t>
      </w:r>
    </w:p>
    <w:p w14:paraId="01DA4AF6" w14:textId="77777777" w:rsidR="000979A0" w:rsidRDefault="000979A0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7BE39A4" w14:textId="77777777" w:rsidR="0075637C" w:rsidRDefault="0075637C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Theme="minorEastAsia" w:hAnsi="Arial" w:cs="Arial"/>
          <w:b/>
          <w:bCs/>
          <w:color w:val="0EA1BD"/>
          <w:lang w:eastAsia="cs-CZ"/>
        </w:rPr>
      </w:pPr>
    </w:p>
    <w:p w14:paraId="76E659BD" w14:textId="45C81443" w:rsidR="008644B4" w:rsidRDefault="00DF3517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Theme="minorEastAsia" w:hAnsi="Arial" w:cs="Arial"/>
          <w:b/>
          <w:bCs/>
          <w:color w:val="0EA1BD"/>
          <w:lang w:eastAsia="cs-CZ"/>
        </w:rPr>
      </w:pPr>
      <w:proofErr w:type="spellStart"/>
      <w:r>
        <w:rPr>
          <w:rFonts w:ascii="Arial" w:eastAsiaTheme="minorEastAsia" w:hAnsi="Arial" w:cs="Arial"/>
          <w:b/>
          <w:bCs/>
          <w:color w:val="0EA1BD"/>
          <w:lang w:eastAsia="cs-CZ"/>
        </w:rPr>
        <w:t>Nebankovky</w:t>
      </w:r>
      <w:proofErr w:type="spellEnd"/>
      <w:r>
        <w:rPr>
          <w:rFonts w:ascii="Arial" w:eastAsiaTheme="minorEastAsia" w:hAnsi="Arial" w:cs="Arial"/>
          <w:b/>
          <w:bCs/>
          <w:color w:val="0EA1BD"/>
          <w:lang w:eastAsia="cs-CZ"/>
        </w:rPr>
        <w:t xml:space="preserve"> n</w:t>
      </w:r>
      <w:r w:rsidR="008644B4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ejčastěji půjčují na </w:t>
      </w:r>
      <w:r w:rsidR="00E32F8F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opravy </w:t>
      </w:r>
      <w:r w:rsidR="00825359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a </w:t>
      </w:r>
      <w:r w:rsidR="00285924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pořízení </w:t>
      </w:r>
      <w:r w:rsidR="008644B4">
        <w:rPr>
          <w:rFonts w:ascii="Arial" w:eastAsiaTheme="minorEastAsia" w:hAnsi="Arial" w:cs="Arial"/>
          <w:b/>
          <w:bCs/>
          <w:color w:val="0EA1BD"/>
          <w:lang w:eastAsia="cs-CZ"/>
        </w:rPr>
        <w:t>domácí</w:t>
      </w:r>
      <w:r w:rsidR="00E32F8F">
        <w:rPr>
          <w:rFonts w:ascii="Arial" w:eastAsiaTheme="minorEastAsia" w:hAnsi="Arial" w:cs="Arial"/>
          <w:b/>
          <w:bCs/>
          <w:color w:val="0EA1BD"/>
          <w:lang w:eastAsia="cs-CZ"/>
        </w:rPr>
        <w:t>ch</w:t>
      </w:r>
      <w:r w:rsidR="008644B4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 spotřebič</w:t>
      </w:r>
      <w:r w:rsidR="00E32F8F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ů, automobilu, </w:t>
      </w:r>
      <w:r>
        <w:rPr>
          <w:rFonts w:ascii="Arial" w:eastAsiaTheme="minorEastAsia" w:hAnsi="Arial" w:cs="Arial"/>
          <w:b/>
          <w:bCs/>
          <w:color w:val="0EA1BD"/>
          <w:lang w:eastAsia="cs-CZ"/>
        </w:rPr>
        <w:t xml:space="preserve">nebo </w:t>
      </w:r>
      <w:r w:rsidR="00C16CE6">
        <w:rPr>
          <w:rFonts w:ascii="Arial" w:eastAsiaTheme="minorEastAsia" w:hAnsi="Arial" w:cs="Arial"/>
          <w:b/>
          <w:bCs/>
          <w:color w:val="0EA1BD"/>
          <w:lang w:eastAsia="cs-CZ"/>
        </w:rPr>
        <w:t>vyúčtování</w:t>
      </w:r>
      <w:r w:rsidR="00DE157F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 energií</w:t>
      </w:r>
    </w:p>
    <w:p w14:paraId="3BC45B10" w14:textId="77777777" w:rsidR="008644B4" w:rsidRDefault="008644B4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AA9256B" w14:textId="1D1DB78E" w:rsidR="00AF2DBC" w:rsidRDefault="00AF2DBC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Průzkum mezi zákazníky </w:t>
      </w:r>
      <w:r w:rsidR="00276501">
        <w:rPr>
          <w:rFonts w:ascii="Arial" w:eastAsia="Arial" w:hAnsi="Arial" w:cs="Arial"/>
          <w:color w:val="000000"/>
        </w:rPr>
        <w:t xml:space="preserve">členů asociace </w:t>
      </w:r>
      <w:r>
        <w:rPr>
          <w:rFonts w:ascii="Arial" w:eastAsia="Arial" w:hAnsi="Arial" w:cs="Arial"/>
          <w:color w:val="000000"/>
        </w:rPr>
        <w:t>potvrzuje, že zákazníci nebankovních společností si půjčují primárně na nezbytné věci nebo nenadálé výdaje</w:t>
      </w:r>
      <w:r w:rsidR="00193274">
        <w:rPr>
          <w:rFonts w:ascii="Arial" w:eastAsia="Arial" w:hAnsi="Arial" w:cs="Arial"/>
          <w:color w:val="000000"/>
        </w:rPr>
        <w:t>. Ú</w:t>
      </w:r>
      <w:r>
        <w:rPr>
          <w:rFonts w:ascii="Arial" w:eastAsia="Arial" w:hAnsi="Arial" w:cs="Arial"/>
          <w:color w:val="000000"/>
        </w:rPr>
        <w:t xml:space="preserve">věry na nadstandard, značkové zboží nebo např. dovolenou zde v podstatě neexistují. </w:t>
      </w:r>
    </w:p>
    <w:p w14:paraId="660D43D3" w14:textId="72A49A9E" w:rsidR="00AF2DBC" w:rsidRDefault="00E71922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020C5">
        <w:rPr>
          <w:rFonts w:ascii="Arial" w:eastAsia="Arial" w:hAnsi="Arial" w:cs="Arial"/>
          <w:noProof/>
          <w:color w:val="000000"/>
          <w:highlight w:val="yellow"/>
        </w:rPr>
        <w:drawing>
          <wp:anchor distT="0" distB="0" distL="114300" distR="114300" simplePos="0" relativeHeight="251658240" behindDoc="1" locked="0" layoutInCell="1" allowOverlap="1" wp14:anchorId="6F1A0782" wp14:editId="2FCC9B7B">
            <wp:simplePos x="0" y="0"/>
            <wp:positionH relativeFrom="margin">
              <wp:align>right</wp:align>
            </wp:positionH>
            <wp:positionV relativeFrom="paragraph">
              <wp:posOffset>281940</wp:posOffset>
            </wp:positionV>
            <wp:extent cx="5674995" cy="3131820"/>
            <wp:effectExtent l="0" t="0" r="1905" b="0"/>
            <wp:wrapTopAndBottom/>
            <wp:docPr id="3" name="Obrázek 2" descr="Obsah obrázku text, snímek obrazovky, Písmo, číslo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55C51893-99E7-C7BD-AAE5-4BA7E02109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Obsah obrázku text, snímek obrazovky, Písmo, číslo&#10;&#10;Obsah vygenerovaný umělou inteligencí může být nesprávný.">
                      <a:extLst>
                        <a:ext uri="{FF2B5EF4-FFF2-40B4-BE49-F238E27FC236}">
                          <a16:creationId xmlns:a16="http://schemas.microsoft.com/office/drawing/2014/main" id="{55C51893-99E7-C7BD-AAE5-4BA7E02109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56E75" w14:textId="77777777" w:rsidR="00E71922" w:rsidRDefault="00E71922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6083C5C" w14:textId="353733C9" w:rsidR="001E1364" w:rsidRPr="001E1364" w:rsidRDefault="001E1364" w:rsidP="001E1364">
      <w:pPr>
        <w:jc w:val="both"/>
        <w:rPr>
          <w:rFonts w:ascii="Arial" w:eastAsiaTheme="minorEastAsia" w:hAnsi="Arial" w:cs="Arial"/>
          <w:b/>
          <w:bCs/>
          <w:color w:val="0EA1BD"/>
          <w:lang w:eastAsia="cs-CZ"/>
        </w:rPr>
      </w:pPr>
      <w:r>
        <w:rPr>
          <w:rFonts w:ascii="Arial" w:eastAsiaTheme="minorEastAsia" w:hAnsi="Arial" w:cs="Arial"/>
          <w:b/>
          <w:bCs/>
          <w:color w:val="0EA1BD"/>
          <w:lang w:eastAsia="cs-CZ"/>
        </w:rPr>
        <w:t>Nabídky šedých či nelegálních úvěrů se množí</w:t>
      </w:r>
    </w:p>
    <w:p w14:paraId="583611A2" w14:textId="2661EE85" w:rsidR="0081299E" w:rsidRDefault="00193274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Alarmující bylo zjištění, že celých 12 % dotázaných zákazníků by bylo ochotno obrátit se na nelegálního poskytovatele, tedy na lichváře, p</w:t>
      </w:r>
      <w:r w:rsidR="008F63DE">
        <w:rPr>
          <w:rFonts w:ascii="Arial" w:eastAsia="Arial" w:hAnsi="Arial" w:cs="Arial"/>
          <w:color w:val="000000"/>
        </w:rPr>
        <w:t>okud by nedostali úvěr na regulovaném trhu</w:t>
      </w:r>
      <w:r>
        <w:rPr>
          <w:rFonts w:ascii="Arial" w:eastAsia="Arial" w:hAnsi="Arial" w:cs="Arial"/>
          <w:color w:val="000000"/>
        </w:rPr>
        <w:t xml:space="preserve">. Oproti loňským datům takto odpovědělo </w:t>
      </w:r>
      <w:r w:rsidR="0011072B">
        <w:rPr>
          <w:rFonts w:ascii="Arial" w:eastAsia="Arial" w:hAnsi="Arial" w:cs="Arial"/>
          <w:color w:val="000000"/>
        </w:rPr>
        <w:t xml:space="preserve">dvakrát více </w:t>
      </w:r>
      <w:r>
        <w:rPr>
          <w:rFonts w:ascii="Arial" w:eastAsia="Arial" w:hAnsi="Arial" w:cs="Arial"/>
          <w:color w:val="000000"/>
        </w:rPr>
        <w:t>zákazníků</w:t>
      </w:r>
      <w:r w:rsidR="008335C9">
        <w:rPr>
          <w:rFonts w:ascii="Arial" w:eastAsia="Arial" w:hAnsi="Arial" w:cs="Arial"/>
          <w:color w:val="000000"/>
        </w:rPr>
        <w:t xml:space="preserve">. </w:t>
      </w:r>
    </w:p>
    <w:p w14:paraId="18C4B15F" w14:textId="2CF0A9F9" w:rsidR="00CB1575" w:rsidRDefault="00CB1575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0925999" w14:textId="3289BBF8" w:rsidR="006D7C45" w:rsidRDefault="008613DB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D3A01"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658241" behindDoc="1" locked="0" layoutInCell="1" allowOverlap="1" wp14:anchorId="470C3577" wp14:editId="4135ED25">
            <wp:simplePos x="0" y="0"/>
            <wp:positionH relativeFrom="margin">
              <wp:posOffset>2301240</wp:posOffset>
            </wp:positionH>
            <wp:positionV relativeFrom="paragraph">
              <wp:posOffset>50165</wp:posOffset>
            </wp:positionV>
            <wp:extent cx="3366770" cy="2022475"/>
            <wp:effectExtent l="0" t="0" r="5080" b="0"/>
            <wp:wrapTight wrapText="bothSides">
              <wp:wrapPolygon edited="0">
                <wp:start x="0" y="0"/>
                <wp:lineTo x="0" y="21363"/>
                <wp:lineTo x="21510" y="21363"/>
                <wp:lineTo x="21510" y="0"/>
                <wp:lineTo x="0" y="0"/>
              </wp:wrapPolygon>
            </wp:wrapTight>
            <wp:docPr id="2138430881" name="Obrázek 2" descr="Obsah obrázku text, snímek obrazovky, číslo, Písmo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D94967AE-7CF7-ECE3-6428-48729D4603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30881" name="Obrázek 2" descr="Obsah obrázku text, snímek obrazovky, číslo, Písmo&#10;&#10;Obsah vygenerovaný umělou inteligencí může být nesprávný.">
                      <a:extLst>
                        <a:ext uri="{FF2B5EF4-FFF2-40B4-BE49-F238E27FC236}">
                          <a16:creationId xmlns:a16="http://schemas.microsoft.com/office/drawing/2014/main" id="{D94967AE-7CF7-ECE3-6428-48729D4603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B9B">
        <w:rPr>
          <w:rFonts w:ascii="Arial" w:eastAsia="Arial" w:hAnsi="Arial" w:cs="Arial"/>
          <w:color w:val="000000"/>
        </w:rPr>
        <w:t xml:space="preserve">Necelých 40 % </w:t>
      </w:r>
      <w:r w:rsidR="00193274">
        <w:rPr>
          <w:rFonts w:ascii="Arial" w:eastAsia="Arial" w:hAnsi="Arial" w:cs="Arial"/>
          <w:color w:val="000000"/>
        </w:rPr>
        <w:t xml:space="preserve">dotazovaných zákazníků </w:t>
      </w:r>
      <w:r w:rsidR="005A0B9B">
        <w:rPr>
          <w:rFonts w:ascii="Arial" w:eastAsia="Arial" w:hAnsi="Arial" w:cs="Arial"/>
          <w:color w:val="000000"/>
        </w:rPr>
        <w:t xml:space="preserve">dostalo </w:t>
      </w:r>
      <w:r w:rsidR="006A7AA0">
        <w:rPr>
          <w:rFonts w:ascii="Arial" w:eastAsia="Arial" w:hAnsi="Arial" w:cs="Arial"/>
          <w:color w:val="000000"/>
        </w:rPr>
        <w:t xml:space="preserve">osobně nabídku na </w:t>
      </w:r>
      <w:r w:rsidR="00193274">
        <w:rPr>
          <w:rFonts w:ascii="Arial" w:eastAsia="Arial" w:hAnsi="Arial" w:cs="Arial"/>
          <w:color w:val="000000"/>
        </w:rPr>
        <w:t xml:space="preserve">spotřebitelský </w:t>
      </w:r>
      <w:r w:rsidR="006A7AA0">
        <w:rPr>
          <w:rFonts w:ascii="Arial" w:eastAsia="Arial" w:hAnsi="Arial" w:cs="Arial"/>
          <w:color w:val="000000"/>
        </w:rPr>
        <w:t xml:space="preserve">úvěr, </w:t>
      </w:r>
      <w:r w:rsidR="0049350A">
        <w:rPr>
          <w:rFonts w:ascii="Arial" w:eastAsia="Arial" w:hAnsi="Arial" w:cs="Arial"/>
          <w:color w:val="000000"/>
        </w:rPr>
        <w:t>kdy</w:t>
      </w:r>
      <w:r w:rsidR="006A7AA0">
        <w:rPr>
          <w:rFonts w:ascii="Arial" w:eastAsia="Arial" w:hAnsi="Arial" w:cs="Arial"/>
          <w:color w:val="000000"/>
        </w:rPr>
        <w:t xml:space="preserve"> poskytovatel vyžadoval ručení nemovitostí (nejedná se o </w:t>
      </w:r>
      <w:r w:rsidR="00193274">
        <w:rPr>
          <w:rFonts w:ascii="Arial" w:eastAsia="Arial" w:hAnsi="Arial" w:cs="Arial"/>
          <w:color w:val="000000"/>
        </w:rPr>
        <w:t>úvěry na bydlení</w:t>
      </w:r>
      <w:r w:rsidR="006A7AA0">
        <w:rPr>
          <w:rFonts w:ascii="Arial" w:eastAsia="Arial" w:hAnsi="Arial" w:cs="Arial"/>
          <w:color w:val="000000"/>
        </w:rPr>
        <w:t>)</w:t>
      </w:r>
      <w:r w:rsidR="008841EC">
        <w:rPr>
          <w:rFonts w:ascii="Arial" w:eastAsia="Arial" w:hAnsi="Arial" w:cs="Arial"/>
          <w:color w:val="000000"/>
        </w:rPr>
        <w:t xml:space="preserve"> nebo se s ní setkali jejich znám</w:t>
      </w:r>
      <w:r w:rsidR="00554607">
        <w:rPr>
          <w:rFonts w:ascii="Arial" w:eastAsia="Arial" w:hAnsi="Arial" w:cs="Arial"/>
          <w:color w:val="000000"/>
        </w:rPr>
        <w:t>í</w:t>
      </w:r>
      <w:r w:rsidR="008841EC">
        <w:rPr>
          <w:rFonts w:ascii="Arial" w:eastAsia="Arial" w:hAnsi="Arial" w:cs="Arial"/>
          <w:color w:val="000000"/>
        </w:rPr>
        <w:t xml:space="preserve"> a rodina. </w:t>
      </w:r>
      <w:r w:rsidR="00F26780">
        <w:rPr>
          <w:rFonts w:ascii="Arial" w:eastAsia="Arial" w:hAnsi="Arial" w:cs="Arial"/>
          <w:color w:val="000000"/>
        </w:rPr>
        <w:t>15 % uvedlo, že jim nebo jejich známým byl</w:t>
      </w:r>
      <w:r w:rsidR="00861238">
        <w:rPr>
          <w:rFonts w:ascii="Arial" w:eastAsia="Arial" w:hAnsi="Arial" w:cs="Arial"/>
          <w:color w:val="000000"/>
        </w:rPr>
        <w:t>a</w:t>
      </w:r>
      <w:r w:rsidR="00F26780">
        <w:rPr>
          <w:rFonts w:ascii="Arial" w:eastAsia="Arial" w:hAnsi="Arial" w:cs="Arial"/>
          <w:color w:val="000000"/>
        </w:rPr>
        <w:t xml:space="preserve"> nabídnu</w:t>
      </w:r>
      <w:r w:rsidR="00C233EF">
        <w:rPr>
          <w:rFonts w:ascii="Arial" w:eastAsia="Arial" w:hAnsi="Arial" w:cs="Arial"/>
          <w:color w:val="000000"/>
        </w:rPr>
        <w:t>ta půjčka spojená se založením živnostenského listu.</w:t>
      </w:r>
      <w:r w:rsidR="00193274">
        <w:rPr>
          <w:rFonts w:ascii="Arial" w:eastAsia="Arial" w:hAnsi="Arial" w:cs="Arial"/>
          <w:color w:val="000000"/>
        </w:rPr>
        <w:t xml:space="preserve"> Tyto praktiky a nabídky šedých nebo dokonce nelegálních poskytovatelů úvěrů se stále častěji objevují na internetu a sociálních sítích. </w:t>
      </w:r>
      <w:r w:rsidR="00C233EF">
        <w:rPr>
          <w:rFonts w:ascii="Arial" w:eastAsia="Arial" w:hAnsi="Arial" w:cs="Arial"/>
          <w:color w:val="000000"/>
        </w:rPr>
        <w:t xml:space="preserve"> </w:t>
      </w:r>
    </w:p>
    <w:p w14:paraId="28C0718C" w14:textId="009AA45B" w:rsidR="00C233EF" w:rsidRDefault="00C233EF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E228359" w14:textId="248BF5FC" w:rsidR="0090457C" w:rsidRPr="0090457C" w:rsidRDefault="00744AC4" w:rsidP="00141283">
      <w:pPr>
        <w:jc w:val="both"/>
        <w:rPr>
          <w:rFonts w:ascii="Arial" w:eastAsiaTheme="minorEastAsia" w:hAnsi="Arial" w:cs="Arial"/>
          <w:b/>
          <w:bCs/>
          <w:color w:val="0EA1BD"/>
          <w:lang w:eastAsia="cs-CZ"/>
        </w:rPr>
      </w:pPr>
      <w:r>
        <w:rPr>
          <w:rFonts w:ascii="Arial" w:eastAsiaTheme="minorEastAsia" w:hAnsi="Arial" w:cs="Arial"/>
          <w:b/>
          <w:bCs/>
          <w:color w:val="0EA1BD"/>
          <w:lang w:eastAsia="cs-CZ"/>
        </w:rPr>
        <w:t>Roste p</w:t>
      </w:r>
      <w:r w:rsidR="0090457C" w:rsidRPr="0090457C">
        <w:rPr>
          <w:rFonts w:ascii="Arial" w:eastAsiaTheme="minorEastAsia" w:hAnsi="Arial" w:cs="Arial"/>
          <w:b/>
          <w:bCs/>
          <w:color w:val="0EA1BD"/>
          <w:lang w:eastAsia="cs-CZ"/>
        </w:rPr>
        <w:t>očet zamítnutých žádostí o úvěr</w:t>
      </w:r>
    </w:p>
    <w:p w14:paraId="7413AA45" w14:textId="0E826E61" w:rsidR="000C729A" w:rsidRDefault="00396869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Průměrná míra zamítnutých žádostí v roce 2024 vzrostla na 5</w:t>
      </w:r>
      <w:r w:rsidR="000A7AB8">
        <w:rPr>
          <w:rFonts w:ascii="Arial" w:eastAsia="Arial" w:hAnsi="Arial" w:cs="Arial"/>
          <w:color w:val="000000"/>
        </w:rPr>
        <w:t>0,4</w:t>
      </w:r>
      <w:r>
        <w:rPr>
          <w:rFonts w:ascii="Arial" w:eastAsia="Arial" w:hAnsi="Arial" w:cs="Arial"/>
          <w:color w:val="000000"/>
        </w:rPr>
        <w:t xml:space="preserve"> %</w:t>
      </w:r>
      <w:r w:rsidR="00D06589">
        <w:rPr>
          <w:rFonts w:ascii="Arial" w:eastAsia="Arial" w:hAnsi="Arial" w:cs="Arial"/>
          <w:color w:val="000000"/>
          <w:lang w:val="en-US"/>
        </w:rPr>
        <w:t>*</w:t>
      </w:r>
      <w:r w:rsidR="00F06222">
        <w:rPr>
          <w:rFonts w:ascii="Arial" w:eastAsia="Arial" w:hAnsi="Arial" w:cs="Arial"/>
          <w:color w:val="000000"/>
        </w:rPr>
        <w:t>.</w:t>
      </w:r>
      <w:r w:rsidR="00D06589">
        <w:rPr>
          <w:rFonts w:ascii="Arial" w:eastAsia="Arial" w:hAnsi="Arial" w:cs="Arial"/>
          <w:color w:val="000000"/>
        </w:rPr>
        <w:t xml:space="preserve"> </w:t>
      </w:r>
      <w:r w:rsidR="00C402C9">
        <w:rPr>
          <w:rFonts w:ascii="Arial" w:eastAsia="Arial" w:hAnsi="Arial" w:cs="Arial"/>
          <w:color w:val="000000"/>
        </w:rPr>
        <w:t>Průměrná m</w:t>
      </w:r>
      <w:r w:rsidR="00F554DE">
        <w:rPr>
          <w:rFonts w:ascii="Arial" w:eastAsia="Arial" w:hAnsi="Arial" w:cs="Arial"/>
          <w:color w:val="000000"/>
        </w:rPr>
        <w:t xml:space="preserve">íra </w:t>
      </w:r>
      <w:r w:rsidR="00B247BF">
        <w:rPr>
          <w:rFonts w:ascii="Arial" w:eastAsia="Arial" w:hAnsi="Arial" w:cs="Arial"/>
          <w:color w:val="000000"/>
        </w:rPr>
        <w:t>v čase roste,</w:t>
      </w:r>
      <w:r w:rsidR="003D01C5">
        <w:rPr>
          <w:rFonts w:ascii="Arial" w:eastAsia="Arial" w:hAnsi="Arial" w:cs="Arial"/>
          <w:color w:val="000000"/>
        </w:rPr>
        <w:t xml:space="preserve"> v loňském roce byla </w:t>
      </w:r>
      <w:r w:rsidR="00175B04">
        <w:rPr>
          <w:rFonts w:ascii="Arial" w:eastAsia="Arial" w:hAnsi="Arial" w:cs="Arial"/>
          <w:color w:val="000000"/>
        </w:rPr>
        <w:t>pod</w:t>
      </w:r>
      <w:r w:rsidR="00E364F5">
        <w:rPr>
          <w:rFonts w:ascii="Arial" w:eastAsia="Arial" w:hAnsi="Arial" w:cs="Arial"/>
          <w:color w:val="000000"/>
        </w:rPr>
        <w:t xml:space="preserve"> </w:t>
      </w:r>
      <w:r w:rsidR="00175B04">
        <w:rPr>
          <w:rFonts w:ascii="Arial" w:eastAsia="Arial" w:hAnsi="Arial" w:cs="Arial"/>
          <w:color w:val="000000"/>
        </w:rPr>
        <w:t xml:space="preserve">40 %. </w:t>
      </w:r>
      <w:r w:rsidR="00175B04" w:rsidRPr="00216FAB">
        <w:rPr>
          <w:rFonts w:ascii="Arial" w:eastAsia="Arial" w:hAnsi="Arial" w:cs="Arial"/>
          <w:i/>
          <w:iCs/>
          <w:color w:val="000000"/>
        </w:rPr>
        <w:t>„</w:t>
      </w:r>
      <w:r w:rsidR="00744AC4">
        <w:rPr>
          <w:rFonts w:ascii="Arial" w:eastAsia="Arial" w:hAnsi="Arial" w:cs="Arial"/>
          <w:i/>
          <w:iCs/>
          <w:color w:val="000000"/>
        </w:rPr>
        <w:t>Ukazuje se, že</w:t>
      </w:r>
      <w:r w:rsidR="00175B04" w:rsidRPr="00216FAB">
        <w:rPr>
          <w:rFonts w:ascii="Arial" w:eastAsia="Arial" w:hAnsi="Arial" w:cs="Arial"/>
          <w:i/>
          <w:iCs/>
          <w:color w:val="000000"/>
        </w:rPr>
        <w:t xml:space="preserve"> </w:t>
      </w:r>
      <w:r w:rsidR="00744AC4">
        <w:rPr>
          <w:rFonts w:ascii="Arial" w:eastAsia="Arial" w:hAnsi="Arial" w:cs="Arial"/>
          <w:i/>
          <w:iCs/>
          <w:color w:val="000000"/>
        </w:rPr>
        <w:t xml:space="preserve">roste potřeba financí u lidí, kteří ale na legální úvěr nedosáhnou. Naši členové proto </w:t>
      </w:r>
      <w:r w:rsidR="00460DCB" w:rsidRPr="00216FAB">
        <w:rPr>
          <w:rFonts w:ascii="Arial" w:eastAsia="Arial" w:hAnsi="Arial" w:cs="Arial"/>
          <w:i/>
          <w:iCs/>
          <w:color w:val="000000"/>
        </w:rPr>
        <w:t>pečlivě posuzují úvěruschopnost každého klienta</w:t>
      </w:r>
      <w:r w:rsidR="00744AC4">
        <w:rPr>
          <w:rFonts w:ascii="Arial" w:eastAsia="Arial" w:hAnsi="Arial" w:cs="Arial"/>
          <w:i/>
          <w:iCs/>
          <w:color w:val="000000"/>
        </w:rPr>
        <w:t>, z</w:t>
      </w:r>
      <w:r w:rsidR="008F4DAB" w:rsidRPr="00216FAB">
        <w:rPr>
          <w:rFonts w:ascii="Arial" w:eastAsia="Arial" w:hAnsi="Arial" w:cs="Arial"/>
          <w:i/>
          <w:iCs/>
          <w:color w:val="000000"/>
        </w:rPr>
        <w:t>koumají</w:t>
      </w:r>
      <w:r w:rsidR="005E1BF8" w:rsidRPr="00216FAB">
        <w:rPr>
          <w:rFonts w:ascii="Arial" w:eastAsia="Arial" w:hAnsi="Arial" w:cs="Arial"/>
          <w:i/>
          <w:iCs/>
          <w:color w:val="000000"/>
        </w:rPr>
        <w:t xml:space="preserve"> jeho výdajovou a příjmovou stránku</w:t>
      </w:r>
      <w:r w:rsidR="00744AC4">
        <w:rPr>
          <w:rFonts w:ascii="Arial" w:eastAsia="Arial" w:hAnsi="Arial" w:cs="Arial"/>
          <w:i/>
          <w:iCs/>
          <w:color w:val="000000"/>
        </w:rPr>
        <w:t xml:space="preserve"> a</w:t>
      </w:r>
      <w:r w:rsidR="005E1BF8" w:rsidRPr="00216FAB">
        <w:rPr>
          <w:rFonts w:ascii="Arial" w:eastAsia="Arial" w:hAnsi="Arial" w:cs="Arial"/>
          <w:i/>
          <w:iCs/>
          <w:color w:val="000000"/>
        </w:rPr>
        <w:t xml:space="preserve"> n</w:t>
      </w:r>
      <w:r w:rsidR="00460DCB" w:rsidRPr="00216FAB">
        <w:rPr>
          <w:rFonts w:ascii="Arial" w:eastAsia="Arial" w:hAnsi="Arial" w:cs="Arial"/>
          <w:i/>
          <w:iCs/>
          <w:color w:val="000000"/>
        </w:rPr>
        <w:t xml:space="preserve">ahlížejí do </w:t>
      </w:r>
      <w:r w:rsidR="00744AC4">
        <w:rPr>
          <w:rFonts w:ascii="Arial" w:eastAsia="Arial" w:hAnsi="Arial" w:cs="Arial"/>
          <w:i/>
          <w:iCs/>
          <w:color w:val="000000"/>
        </w:rPr>
        <w:t xml:space="preserve">úvěrových </w:t>
      </w:r>
      <w:r w:rsidR="00460DCB" w:rsidRPr="00216FAB">
        <w:rPr>
          <w:rFonts w:ascii="Arial" w:eastAsia="Arial" w:hAnsi="Arial" w:cs="Arial"/>
          <w:i/>
          <w:iCs/>
          <w:color w:val="000000"/>
        </w:rPr>
        <w:t>registrů</w:t>
      </w:r>
      <w:r w:rsidR="00744AC4">
        <w:rPr>
          <w:rFonts w:ascii="Arial" w:eastAsia="Arial" w:hAnsi="Arial" w:cs="Arial"/>
          <w:i/>
          <w:iCs/>
          <w:color w:val="000000"/>
        </w:rPr>
        <w:t xml:space="preserve">. V lednu jsme </w:t>
      </w:r>
      <w:r w:rsidR="00D93483">
        <w:rPr>
          <w:rFonts w:ascii="Arial" w:eastAsia="Arial" w:hAnsi="Arial" w:cs="Arial"/>
          <w:i/>
          <w:iCs/>
          <w:color w:val="000000"/>
        </w:rPr>
        <w:t>spoluzakládali</w:t>
      </w:r>
      <w:r w:rsidR="005E1BF8" w:rsidRPr="00216FAB">
        <w:rPr>
          <w:rFonts w:ascii="Arial" w:eastAsia="Arial" w:hAnsi="Arial" w:cs="Arial"/>
          <w:i/>
          <w:iCs/>
          <w:color w:val="000000"/>
        </w:rPr>
        <w:t xml:space="preserve"> </w:t>
      </w:r>
      <w:r w:rsidR="00AB1AAB" w:rsidRPr="00216FAB">
        <w:rPr>
          <w:rFonts w:ascii="Arial" w:eastAsia="Arial" w:hAnsi="Arial" w:cs="Arial"/>
          <w:i/>
          <w:iCs/>
          <w:color w:val="000000"/>
        </w:rPr>
        <w:t xml:space="preserve">registr, který </w:t>
      </w:r>
      <w:r w:rsidR="008F4DAB" w:rsidRPr="00216FAB">
        <w:rPr>
          <w:rFonts w:ascii="Arial" w:eastAsia="Arial" w:hAnsi="Arial" w:cs="Arial"/>
          <w:i/>
          <w:iCs/>
          <w:color w:val="000000"/>
        </w:rPr>
        <w:t xml:space="preserve">pomáhá </w:t>
      </w:r>
      <w:r w:rsidR="00024E46" w:rsidRPr="00216FAB">
        <w:rPr>
          <w:rFonts w:ascii="Arial" w:eastAsia="Arial" w:hAnsi="Arial" w:cs="Arial"/>
          <w:i/>
          <w:iCs/>
          <w:color w:val="000000"/>
        </w:rPr>
        <w:t>odhalovat rizikové chování žadatelů</w:t>
      </w:r>
      <w:r w:rsidR="00744AC4">
        <w:rPr>
          <w:rFonts w:ascii="Arial" w:eastAsia="Arial" w:hAnsi="Arial" w:cs="Arial"/>
          <w:i/>
          <w:iCs/>
          <w:color w:val="000000"/>
        </w:rPr>
        <w:t xml:space="preserve"> a </w:t>
      </w:r>
      <w:r w:rsidR="00744AC4">
        <w:rPr>
          <w:rFonts w:ascii="Arial" w:eastAsia="Arial" w:hAnsi="Arial" w:cs="Arial"/>
          <w:i/>
          <w:iCs/>
          <w:color w:val="000000"/>
        </w:rPr>
        <w:lastRenderedPageBreak/>
        <w:t>funguje jako prevence jejich předlužení</w:t>
      </w:r>
      <w:r w:rsidR="00024E46" w:rsidRPr="00216FAB">
        <w:rPr>
          <w:rFonts w:ascii="Arial" w:eastAsia="Arial" w:hAnsi="Arial" w:cs="Arial"/>
          <w:i/>
          <w:iCs/>
          <w:color w:val="000000"/>
        </w:rPr>
        <w:t xml:space="preserve">. </w:t>
      </w:r>
      <w:r w:rsidR="001E1364">
        <w:rPr>
          <w:rFonts w:ascii="Arial" w:eastAsia="Arial" w:hAnsi="Arial" w:cs="Arial"/>
          <w:i/>
          <w:iCs/>
          <w:color w:val="000000"/>
        </w:rPr>
        <w:t>Ruku v ruce s tím rostou i náklady, které poskytovatelé musí pokrýt v souvislosti s důsledným prověřováním žadatelů</w:t>
      </w:r>
      <w:r w:rsidR="00216FAB" w:rsidRPr="00216FAB">
        <w:rPr>
          <w:rFonts w:ascii="Arial" w:eastAsia="Arial" w:hAnsi="Arial" w:cs="Arial"/>
          <w:i/>
          <w:iCs/>
          <w:color w:val="000000"/>
        </w:rPr>
        <w:t>,“</w:t>
      </w:r>
      <w:r w:rsidR="00216FAB">
        <w:rPr>
          <w:rFonts w:ascii="Arial" w:eastAsia="Arial" w:hAnsi="Arial" w:cs="Arial"/>
          <w:color w:val="000000"/>
        </w:rPr>
        <w:t xml:space="preserve"> uvádí Aleš Perutka.</w:t>
      </w:r>
    </w:p>
    <w:p w14:paraId="307469E6" w14:textId="2CB93807" w:rsidR="00B350C2" w:rsidRDefault="00DE14CF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658242" behindDoc="1" locked="0" layoutInCell="1" allowOverlap="1" wp14:anchorId="0D8CDBBA" wp14:editId="48BA2174">
            <wp:simplePos x="0" y="0"/>
            <wp:positionH relativeFrom="column">
              <wp:posOffset>-15240</wp:posOffset>
            </wp:positionH>
            <wp:positionV relativeFrom="paragraph">
              <wp:posOffset>189230</wp:posOffset>
            </wp:positionV>
            <wp:extent cx="4902835" cy="1890395"/>
            <wp:effectExtent l="0" t="0" r="0" b="0"/>
            <wp:wrapTopAndBottom/>
            <wp:docPr id="189173090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89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DCB">
        <w:rPr>
          <w:rFonts w:ascii="Arial" w:eastAsia="Arial" w:hAnsi="Arial" w:cs="Arial"/>
          <w:color w:val="000000"/>
        </w:rPr>
        <w:t xml:space="preserve"> </w:t>
      </w:r>
    </w:p>
    <w:p w14:paraId="51D9B96B" w14:textId="455741D3" w:rsidR="00B350C2" w:rsidRDefault="00B350C2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E826A0E" w14:textId="5F55D6DA" w:rsidR="00C7380F" w:rsidRPr="00C7380F" w:rsidRDefault="00C7380F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7380F">
        <w:rPr>
          <w:rFonts w:ascii="Arial" w:eastAsia="Arial" w:hAnsi="Arial" w:cs="Arial"/>
          <w:color w:val="000000"/>
        </w:rPr>
        <w:t xml:space="preserve">Vývoj potvrzuje, že ověřování informací </w:t>
      </w:r>
      <w:r w:rsidR="00295012">
        <w:rPr>
          <w:rFonts w:ascii="Arial" w:eastAsia="Arial" w:hAnsi="Arial" w:cs="Arial"/>
          <w:color w:val="000000"/>
        </w:rPr>
        <w:t xml:space="preserve">v dostupných registrech </w:t>
      </w:r>
      <w:r w:rsidRPr="00C7380F">
        <w:rPr>
          <w:rFonts w:ascii="Arial" w:eastAsia="Arial" w:hAnsi="Arial" w:cs="Arial"/>
          <w:color w:val="000000"/>
        </w:rPr>
        <w:t>je nedílnou součástí standardního fungování napříč členy APNÚ.</w:t>
      </w:r>
      <w:r>
        <w:rPr>
          <w:rFonts w:ascii="Arial" w:eastAsia="Arial" w:hAnsi="Arial" w:cs="Arial"/>
          <w:color w:val="000000"/>
        </w:rPr>
        <w:t xml:space="preserve"> </w:t>
      </w:r>
      <w:r w:rsidR="009C689D">
        <w:rPr>
          <w:rFonts w:ascii="Arial" w:eastAsia="Arial" w:hAnsi="Arial" w:cs="Arial"/>
          <w:color w:val="000000"/>
        </w:rPr>
        <w:t>Počet prověření přesáhl v roce 2024 hranici 2,5 miliónů.</w:t>
      </w:r>
    </w:p>
    <w:p w14:paraId="1C92BFAE" w14:textId="153E393E" w:rsidR="007660B5" w:rsidRDefault="007660B5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E3B26A4" w14:textId="581EE3A1" w:rsidR="00C41ACF" w:rsidRDefault="00B84AAB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836FA">
        <w:rPr>
          <w:rFonts w:ascii="Arial" w:eastAsia="Arial" w:hAnsi="Arial" w:cs="Arial"/>
          <w:color w:val="000000"/>
        </w:rPr>
        <w:t>„</w:t>
      </w:r>
      <w:r w:rsidR="007452DA" w:rsidRPr="004836FA">
        <w:rPr>
          <w:rFonts w:ascii="Arial" w:eastAsia="Arial" w:hAnsi="Arial" w:cs="Arial"/>
          <w:i/>
          <w:iCs/>
          <w:color w:val="000000"/>
        </w:rPr>
        <w:t>Data Českého statistického úřadu</w:t>
      </w:r>
      <w:r w:rsidR="00B30C3D">
        <w:rPr>
          <w:rFonts w:ascii="Arial" w:eastAsia="Arial" w:hAnsi="Arial" w:cs="Arial"/>
          <w:i/>
          <w:iCs/>
          <w:color w:val="000000"/>
        </w:rPr>
        <w:t xml:space="preserve"> </w:t>
      </w:r>
      <w:r w:rsidR="007452DA" w:rsidRPr="004836FA">
        <w:rPr>
          <w:rFonts w:ascii="Arial" w:eastAsia="Arial" w:hAnsi="Arial" w:cs="Arial"/>
          <w:i/>
          <w:iCs/>
          <w:color w:val="000000"/>
        </w:rPr>
        <w:t xml:space="preserve">ukazují, že poměrně značná část českých domácností si nemohla dovolit nečekaný výdaj ve výši </w:t>
      </w:r>
      <w:r w:rsidR="007452DA" w:rsidRPr="00B57D31">
        <w:rPr>
          <w:rFonts w:ascii="Arial" w:eastAsia="Arial" w:hAnsi="Arial" w:cs="Arial"/>
          <w:i/>
          <w:iCs/>
          <w:color w:val="000000"/>
        </w:rPr>
        <w:t>15 600 Kč.</w:t>
      </w:r>
      <w:r w:rsidRPr="00B57D31">
        <w:rPr>
          <w:rFonts w:ascii="Arial" w:eastAsia="Arial" w:hAnsi="Arial" w:cs="Arial"/>
          <w:i/>
          <w:iCs/>
          <w:color w:val="000000"/>
        </w:rPr>
        <w:t xml:space="preserve"> </w:t>
      </w:r>
      <w:r w:rsidR="00B57D31" w:rsidRPr="00B57D31">
        <w:rPr>
          <w:rFonts w:ascii="Arial" w:eastAsia="Arial" w:hAnsi="Arial" w:cs="Arial"/>
          <w:i/>
          <w:iCs/>
          <w:color w:val="000000"/>
        </w:rPr>
        <w:t>Více než 244 tis</w:t>
      </w:r>
      <w:r w:rsidR="001E1364">
        <w:rPr>
          <w:rFonts w:ascii="Arial" w:eastAsia="Arial" w:hAnsi="Arial" w:cs="Arial"/>
          <w:i/>
          <w:iCs/>
          <w:color w:val="000000"/>
        </w:rPr>
        <w:t xml:space="preserve">íc domácností s nejnižšími </w:t>
      </w:r>
      <w:r w:rsidR="00B57D31" w:rsidRPr="00B57D31">
        <w:rPr>
          <w:rFonts w:ascii="Arial" w:eastAsia="Arial" w:hAnsi="Arial" w:cs="Arial"/>
          <w:i/>
          <w:iCs/>
          <w:color w:val="000000"/>
        </w:rPr>
        <w:t>má problémy s neočekávanými výdaji.​</w:t>
      </w:r>
      <w:r w:rsidR="00B57D31">
        <w:rPr>
          <w:rFonts w:ascii="Arial" w:eastAsia="Arial" w:hAnsi="Arial" w:cs="Arial"/>
          <w:i/>
          <w:iCs/>
          <w:color w:val="000000"/>
        </w:rPr>
        <w:t xml:space="preserve"> </w:t>
      </w:r>
      <w:r w:rsidRPr="00B57D31">
        <w:rPr>
          <w:rFonts w:ascii="Arial" w:eastAsia="Arial" w:hAnsi="Arial" w:cs="Arial"/>
          <w:i/>
          <w:iCs/>
          <w:color w:val="000000"/>
        </w:rPr>
        <w:t xml:space="preserve">Schopnost zvládnout </w:t>
      </w:r>
      <w:r w:rsidR="001E1364">
        <w:rPr>
          <w:rFonts w:ascii="Arial" w:eastAsia="Arial" w:hAnsi="Arial" w:cs="Arial"/>
          <w:i/>
          <w:iCs/>
          <w:color w:val="000000"/>
        </w:rPr>
        <w:t>tyto neplánované</w:t>
      </w:r>
      <w:r w:rsidRPr="00B57D31">
        <w:rPr>
          <w:rFonts w:ascii="Arial" w:eastAsia="Arial" w:hAnsi="Arial" w:cs="Arial"/>
          <w:i/>
          <w:iCs/>
          <w:color w:val="000000"/>
        </w:rPr>
        <w:t xml:space="preserve"> výdaje j</w:t>
      </w:r>
      <w:r w:rsidRPr="004836FA">
        <w:rPr>
          <w:rFonts w:ascii="Arial" w:eastAsia="Arial" w:hAnsi="Arial" w:cs="Arial"/>
          <w:i/>
          <w:iCs/>
          <w:color w:val="000000"/>
        </w:rPr>
        <w:t>e přitom klíčovým faktorem finanční stability</w:t>
      </w:r>
      <w:r w:rsidR="001E1364">
        <w:rPr>
          <w:rFonts w:ascii="Arial" w:eastAsia="Arial" w:hAnsi="Arial" w:cs="Arial"/>
          <w:i/>
          <w:iCs/>
          <w:color w:val="000000"/>
        </w:rPr>
        <w:t xml:space="preserve"> domácností</w:t>
      </w:r>
      <w:r w:rsidR="00215371">
        <w:rPr>
          <w:rFonts w:ascii="Arial" w:eastAsia="Arial" w:hAnsi="Arial" w:cs="Arial"/>
          <w:i/>
          <w:iCs/>
          <w:color w:val="000000"/>
        </w:rPr>
        <w:t>,“</w:t>
      </w:r>
      <w:r w:rsidRPr="004836FA">
        <w:rPr>
          <w:rFonts w:ascii="Arial" w:eastAsia="Arial" w:hAnsi="Arial" w:cs="Arial"/>
          <w:i/>
          <w:iCs/>
          <w:color w:val="000000"/>
        </w:rPr>
        <w:t xml:space="preserve"> </w:t>
      </w:r>
      <w:r w:rsidR="00215371" w:rsidRPr="004836FA">
        <w:rPr>
          <w:rFonts w:ascii="Arial" w:eastAsia="Arial" w:hAnsi="Arial" w:cs="Arial"/>
          <w:color w:val="000000"/>
        </w:rPr>
        <w:t>uvádí Michael Fanta, hlavní analytik CETA.</w:t>
      </w:r>
      <w:r w:rsidR="00215371">
        <w:rPr>
          <w:rFonts w:ascii="Arial" w:eastAsia="Arial" w:hAnsi="Arial" w:cs="Arial"/>
          <w:color w:val="000000"/>
        </w:rPr>
        <w:t xml:space="preserve"> </w:t>
      </w:r>
    </w:p>
    <w:p w14:paraId="2CA66CE4" w14:textId="77777777" w:rsidR="00C41ACF" w:rsidRDefault="00C41ACF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AD92C86" w14:textId="4686406A" w:rsidR="00B84AAB" w:rsidRDefault="00B84AAB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981A8"/>
        </w:rPr>
      </w:pPr>
      <w:r w:rsidRPr="00215371">
        <w:rPr>
          <w:rFonts w:ascii="Arial" w:eastAsia="Arial" w:hAnsi="Arial" w:cs="Arial"/>
          <w:color w:val="000000"/>
        </w:rPr>
        <w:t>Zatímco vyšší příjmové skupiny mohou čerpat úspory, n</w:t>
      </w:r>
      <w:r w:rsidR="001E1364">
        <w:rPr>
          <w:rFonts w:ascii="Arial" w:eastAsia="Arial" w:hAnsi="Arial" w:cs="Arial"/>
          <w:color w:val="000000"/>
        </w:rPr>
        <w:t xml:space="preserve">ízkopříjmové </w:t>
      </w:r>
      <w:r w:rsidRPr="00215371">
        <w:rPr>
          <w:rFonts w:ascii="Arial" w:eastAsia="Arial" w:hAnsi="Arial" w:cs="Arial"/>
          <w:color w:val="000000"/>
        </w:rPr>
        <w:t>domácnosti jsou odkázány na vnější zdroje financování, ať už ve formě úvěrů</w:t>
      </w:r>
      <w:r w:rsidR="00AC5EA3" w:rsidRPr="00215371">
        <w:rPr>
          <w:rFonts w:ascii="Arial" w:eastAsia="Arial" w:hAnsi="Arial" w:cs="Arial"/>
          <w:color w:val="000000"/>
        </w:rPr>
        <w:t xml:space="preserve"> nebo </w:t>
      </w:r>
      <w:r w:rsidRPr="00215371">
        <w:rPr>
          <w:rFonts w:ascii="Arial" w:eastAsia="Arial" w:hAnsi="Arial" w:cs="Arial"/>
          <w:color w:val="000000"/>
        </w:rPr>
        <w:t>pomoci od rodiny</w:t>
      </w:r>
      <w:r w:rsidR="00AC5EA3" w:rsidRPr="00215371">
        <w:rPr>
          <w:rFonts w:ascii="Arial" w:eastAsia="Arial" w:hAnsi="Arial" w:cs="Arial"/>
          <w:color w:val="000000"/>
        </w:rPr>
        <w:t xml:space="preserve">. Nebankovní společnosti </w:t>
      </w:r>
      <w:r w:rsidR="002044BE" w:rsidRPr="00215371">
        <w:rPr>
          <w:rFonts w:ascii="Arial" w:eastAsia="Arial" w:hAnsi="Arial" w:cs="Arial"/>
          <w:color w:val="000000"/>
        </w:rPr>
        <w:t xml:space="preserve">jsou často jedinou </w:t>
      </w:r>
      <w:r w:rsidR="001E1364">
        <w:rPr>
          <w:rFonts w:ascii="Arial" w:eastAsia="Arial" w:hAnsi="Arial" w:cs="Arial"/>
          <w:color w:val="000000"/>
        </w:rPr>
        <w:t xml:space="preserve">legální </w:t>
      </w:r>
      <w:r w:rsidR="002044BE" w:rsidRPr="00215371">
        <w:rPr>
          <w:rFonts w:ascii="Arial" w:eastAsia="Arial" w:hAnsi="Arial" w:cs="Arial"/>
          <w:color w:val="000000"/>
        </w:rPr>
        <w:t>možností pro nízkopříjmové domácnosti</w:t>
      </w:r>
      <w:r w:rsidR="004836FA" w:rsidRPr="00215371">
        <w:rPr>
          <w:rFonts w:ascii="Arial" w:eastAsia="Arial" w:hAnsi="Arial" w:cs="Arial"/>
          <w:color w:val="000000"/>
        </w:rPr>
        <w:t xml:space="preserve"> p</w:t>
      </w:r>
      <w:r w:rsidR="00A1035C" w:rsidRPr="00215371">
        <w:rPr>
          <w:rFonts w:ascii="Arial" w:eastAsia="Arial" w:hAnsi="Arial" w:cs="Arial"/>
          <w:color w:val="000000"/>
        </w:rPr>
        <w:t xml:space="preserve">ři akutní </w:t>
      </w:r>
      <w:r w:rsidR="006C52FE" w:rsidRPr="00215371">
        <w:rPr>
          <w:rFonts w:ascii="Arial" w:eastAsia="Arial" w:hAnsi="Arial" w:cs="Arial"/>
          <w:color w:val="000000"/>
        </w:rPr>
        <w:t>potřebě pokrytí nenadálých výdajů</w:t>
      </w:r>
      <w:r w:rsidR="00215371">
        <w:rPr>
          <w:rFonts w:ascii="Arial" w:eastAsia="Arial" w:hAnsi="Arial" w:cs="Arial"/>
          <w:color w:val="000000"/>
        </w:rPr>
        <w:t>.</w:t>
      </w:r>
      <w:r w:rsidR="004836FA" w:rsidRPr="00215371">
        <w:rPr>
          <w:rFonts w:ascii="Arial" w:eastAsia="Arial" w:hAnsi="Arial" w:cs="Arial"/>
          <w:color w:val="0981A8"/>
        </w:rPr>
        <w:t xml:space="preserve"> </w:t>
      </w:r>
    </w:p>
    <w:p w14:paraId="32DD762C" w14:textId="77777777" w:rsidR="00C45254" w:rsidRDefault="00C45254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981A8"/>
        </w:rPr>
      </w:pPr>
    </w:p>
    <w:p w14:paraId="4D8C48A0" w14:textId="28A5CAD6" w:rsidR="00C45254" w:rsidRPr="00454E58" w:rsidRDefault="00454E58" w:rsidP="00141283">
      <w:pPr>
        <w:jc w:val="both"/>
        <w:rPr>
          <w:rFonts w:ascii="Arial" w:eastAsiaTheme="minorEastAsia" w:hAnsi="Arial" w:cs="Arial"/>
          <w:b/>
          <w:bCs/>
          <w:color w:val="0EA1BD"/>
          <w:lang w:eastAsia="cs-CZ"/>
        </w:rPr>
      </w:pPr>
      <w:r w:rsidRPr="00454E58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Proč mají </w:t>
      </w:r>
      <w:proofErr w:type="spellStart"/>
      <w:r w:rsidRPr="00454E58">
        <w:rPr>
          <w:rFonts w:ascii="Arial" w:eastAsiaTheme="minorEastAsia" w:hAnsi="Arial" w:cs="Arial"/>
          <w:b/>
          <w:bCs/>
          <w:color w:val="0EA1BD"/>
          <w:lang w:eastAsia="cs-CZ"/>
        </w:rPr>
        <w:t>nebankovky</w:t>
      </w:r>
      <w:proofErr w:type="spellEnd"/>
      <w:r w:rsidRPr="00454E58">
        <w:rPr>
          <w:rFonts w:ascii="Arial" w:eastAsiaTheme="minorEastAsia" w:hAnsi="Arial" w:cs="Arial"/>
          <w:b/>
          <w:bCs/>
          <w:color w:val="0EA1BD"/>
          <w:lang w:eastAsia="cs-CZ"/>
        </w:rPr>
        <w:t xml:space="preserve"> vyšší úrok?</w:t>
      </w:r>
    </w:p>
    <w:p w14:paraId="201CD377" w14:textId="6901EABF" w:rsidR="00195175" w:rsidRPr="00195175" w:rsidRDefault="00195175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024A72">
        <w:rPr>
          <w:rFonts w:ascii="Arial" w:eastAsia="Arial" w:hAnsi="Arial" w:cs="Arial"/>
          <w:color w:val="000000"/>
        </w:rPr>
        <w:t>Úrokové</w:t>
      </w:r>
      <w:r w:rsidRPr="00195175">
        <w:rPr>
          <w:rFonts w:ascii="Arial" w:eastAsia="Arial" w:hAnsi="Arial" w:cs="Arial"/>
          <w:color w:val="000000"/>
        </w:rPr>
        <w:t xml:space="preserve"> sazby </w:t>
      </w:r>
      <w:r w:rsidRPr="00024A72">
        <w:rPr>
          <w:rFonts w:ascii="Arial" w:eastAsia="Arial" w:hAnsi="Arial" w:cs="Arial"/>
          <w:color w:val="000000"/>
        </w:rPr>
        <w:t xml:space="preserve">přímo závisí </w:t>
      </w:r>
      <w:r w:rsidRPr="00195175">
        <w:rPr>
          <w:rFonts w:ascii="Arial" w:eastAsia="Arial" w:hAnsi="Arial" w:cs="Arial"/>
          <w:color w:val="000000"/>
        </w:rPr>
        <w:t xml:space="preserve">na rizikovosti. Nebankovní sektor obsluhuje rizikovější zákazníky, a musí proto tento fakt kompenzovat vyšší úrokovou sazbou. </w:t>
      </w:r>
      <w:r w:rsidR="00756503" w:rsidRPr="00024A72">
        <w:rPr>
          <w:rFonts w:ascii="Arial" w:eastAsia="Arial" w:hAnsi="Arial" w:cs="Arial"/>
          <w:color w:val="000000"/>
        </w:rPr>
        <w:t>Banky a nebankovní společnost</w:t>
      </w:r>
      <w:r w:rsidR="00FC1802">
        <w:rPr>
          <w:rFonts w:ascii="Arial" w:eastAsia="Arial" w:hAnsi="Arial" w:cs="Arial"/>
          <w:color w:val="000000"/>
        </w:rPr>
        <w:t>i</w:t>
      </w:r>
      <w:r w:rsidR="00756503" w:rsidRPr="00024A72">
        <w:rPr>
          <w:rFonts w:ascii="Arial" w:eastAsia="Arial" w:hAnsi="Arial" w:cs="Arial"/>
          <w:color w:val="000000"/>
        </w:rPr>
        <w:t xml:space="preserve"> mají také rozdílné </w:t>
      </w:r>
      <w:r w:rsidR="00536C6A" w:rsidRPr="00024A72">
        <w:rPr>
          <w:rFonts w:ascii="Arial" w:eastAsia="Arial" w:hAnsi="Arial" w:cs="Arial"/>
          <w:color w:val="000000"/>
        </w:rPr>
        <w:t xml:space="preserve">zdroje financovaní. </w:t>
      </w:r>
      <w:r w:rsidR="00024A72" w:rsidRPr="00024A72">
        <w:rPr>
          <w:rFonts w:ascii="Arial" w:eastAsia="Arial" w:hAnsi="Arial" w:cs="Arial"/>
          <w:color w:val="000000"/>
        </w:rPr>
        <w:t>Banky mají díky možnosti přijímat klientské vklady přístup k relativně levnému a stabilnímu kapitálu. Nebankovní poskytovatelé musí kapitál získávat z externích zdrojů, jako jsou úvěry od bank, emise dluhopisů nebo soukromé investice.​</w:t>
      </w:r>
    </w:p>
    <w:p w14:paraId="299BD636" w14:textId="77777777" w:rsidR="00454E58" w:rsidRDefault="00454E58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F62B793" w14:textId="01F27120" w:rsidR="00D50930" w:rsidRDefault="00582288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Nebankovní spo</w:t>
      </w:r>
      <w:r w:rsidR="00283939"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</w:rPr>
        <w:t>ečno</w:t>
      </w:r>
      <w:r w:rsidR="00283939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ti nabízejí </w:t>
      </w:r>
      <w:r w:rsidR="00600916" w:rsidRPr="00290C12">
        <w:rPr>
          <w:rFonts w:ascii="Arial" w:eastAsia="Arial" w:hAnsi="Arial" w:cs="Arial"/>
          <w:color w:val="000000"/>
        </w:rPr>
        <w:t>f</w:t>
      </w:r>
      <w:r w:rsidR="009F65BD" w:rsidRPr="00290C12">
        <w:rPr>
          <w:rFonts w:ascii="Arial" w:eastAsia="Arial" w:hAnsi="Arial" w:cs="Arial"/>
          <w:color w:val="000000"/>
        </w:rPr>
        <w:t>lexibilní půjčky</w:t>
      </w:r>
      <w:r w:rsidR="00283939">
        <w:rPr>
          <w:rFonts w:ascii="Arial" w:eastAsia="Arial" w:hAnsi="Arial" w:cs="Arial"/>
          <w:color w:val="000000"/>
        </w:rPr>
        <w:t>, které jsou</w:t>
      </w:r>
      <w:r w:rsidR="00600916" w:rsidRPr="00290C12">
        <w:rPr>
          <w:rFonts w:ascii="Arial" w:eastAsia="Arial" w:hAnsi="Arial" w:cs="Arial"/>
          <w:color w:val="000000"/>
        </w:rPr>
        <w:t xml:space="preserve"> spojen</w:t>
      </w:r>
      <w:r w:rsidR="00283939">
        <w:rPr>
          <w:rFonts w:ascii="Arial" w:eastAsia="Arial" w:hAnsi="Arial" w:cs="Arial"/>
          <w:color w:val="000000"/>
        </w:rPr>
        <w:t>y</w:t>
      </w:r>
      <w:r w:rsidR="00600916" w:rsidRPr="00290C12">
        <w:rPr>
          <w:rFonts w:ascii="Arial" w:eastAsia="Arial" w:hAnsi="Arial" w:cs="Arial"/>
          <w:color w:val="000000"/>
        </w:rPr>
        <w:t xml:space="preserve"> s </w:t>
      </w:r>
      <w:r w:rsidR="00283939">
        <w:rPr>
          <w:rFonts w:ascii="Arial" w:eastAsia="Arial" w:hAnsi="Arial" w:cs="Arial"/>
          <w:color w:val="000000"/>
        </w:rPr>
        <w:t>vyššími</w:t>
      </w:r>
      <w:r w:rsidR="009F65BD" w:rsidRPr="00290C12">
        <w:rPr>
          <w:rFonts w:ascii="Arial" w:eastAsia="Arial" w:hAnsi="Arial" w:cs="Arial"/>
          <w:color w:val="000000"/>
        </w:rPr>
        <w:t xml:space="preserve"> náklady</w:t>
      </w:r>
      <w:r w:rsidR="00510F0F">
        <w:rPr>
          <w:rFonts w:ascii="Arial" w:eastAsia="Arial" w:hAnsi="Arial" w:cs="Arial"/>
          <w:color w:val="000000"/>
        </w:rPr>
        <w:t xml:space="preserve"> a s</w:t>
      </w:r>
      <w:r w:rsidR="00044FC3" w:rsidRPr="00290C12">
        <w:rPr>
          <w:rFonts w:ascii="Arial" w:eastAsia="Arial" w:hAnsi="Arial" w:cs="Arial"/>
          <w:color w:val="000000"/>
        </w:rPr>
        <w:t>e zákazníky udržují intenzivnější přímou komunikaci</w:t>
      </w:r>
      <w:r w:rsidR="0044290E">
        <w:rPr>
          <w:rFonts w:ascii="Arial" w:eastAsia="Arial" w:hAnsi="Arial" w:cs="Arial"/>
          <w:color w:val="000000"/>
        </w:rPr>
        <w:t xml:space="preserve">. </w:t>
      </w:r>
      <w:r w:rsidR="000A7812">
        <w:rPr>
          <w:rFonts w:ascii="Arial" w:eastAsia="Arial" w:hAnsi="Arial" w:cs="Arial"/>
          <w:color w:val="000000"/>
        </w:rPr>
        <w:t>Posuzují úvěruschopnost u všech žadatelů</w:t>
      </w:r>
      <w:r w:rsidR="000C30C8">
        <w:rPr>
          <w:rFonts w:ascii="Arial" w:eastAsia="Arial" w:hAnsi="Arial" w:cs="Arial"/>
          <w:color w:val="000000"/>
        </w:rPr>
        <w:t xml:space="preserve"> i odmítnutých zákazníků, kteří tvoří až polovinu z nich.</w:t>
      </w:r>
      <w:r w:rsidR="001E1364">
        <w:rPr>
          <w:rFonts w:ascii="Arial" w:eastAsia="Arial" w:hAnsi="Arial" w:cs="Arial"/>
          <w:color w:val="000000"/>
        </w:rPr>
        <w:t xml:space="preserve"> </w:t>
      </w:r>
      <w:r w:rsidR="0063153C">
        <w:rPr>
          <w:rFonts w:ascii="Arial" w:eastAsia="Arial" w:hAnsi="Arial" w:cs="Arial"/>
          <w:color w:val="000000"/>
        </w:rPr>
        <w:t>Do</w:t>
      </w:r>
      <w:r w:rsidR="001E1364">
        <w:rPr>
          <w:rFonts w:ascii="Arial" w:eastAsia="Arial" w:hAnsi="Arial" w:cs="Arial"/>
          <w:color w:val="000000"/>
        </w:rPr>
        <w:t xml:space="preserve"> v</w:t>
      </w:r>
      <w:r w:rsidR="0063153C">
        <w:rPr>
          <w:rFonts w:ascii="Arial" w:eastAsia="Arial" w:hAnsi="Arial" w:cs="Arial"/>
          <w:color w:val="000000"/>
        </w:rPr>
        <w:t>ýše nákladů</w:t>
      </w:r>
      <w:r w:rsidR="001E1364">
        <w:rPr>
          <w:rFonts w:ascii="Arial" w:eastAsia="Arial" w:hAnsi="Arial" w:cs="Arial"/>
          <w:color w:val="000000"/>
        </w:rPr>
        <w:t xml:space="preserve"> se </w:t>
      </w:r>
      <w:r w:rsidR="0063153C">
        <w:rPr>
          <w:rFonts w:ascii="Arial" w:eastAsia="Arial" w:hAnsi="Arial" w:cs="Arial"/>
          <w:color w:val="000000"/>
        </w:rPr>
        <w:t xml:space="preserve">významně </w:t>
      </w:r>
      <w:r w:rsidR="001E1364">
        <w:rPr>
          <w:rFonts w:ascii="Arial" w:eastAsia="Arial" w:hAnsi="Arial" w:cs="Arial"/>
          <w:color w:val="000000"/>
        </w:rPr>
        <w:t xml:space="preserve">propisuje i potřeba častější individuální komunikace se zákazníky k zajištění </w:t>
      </w:r>
      <w:r w:rsidR="0063153C">
        <w:rPr>
          <w:rFonts w:ascii="Arial" w:eastAsia="Arial" w:hAnsi="Arial" w:cs="Arial"/>
          <w:color w:val="000000"/>
        </w:rPr>
        <w:t>pravidelné</w:t>
      </w:r>
      <w:r w:rsidR="001E1364">
        <w:rPr>
          <w:rFonts w:ascii="Arial" w:eastAsia="Arial" w:hAnsi="Arial" w:cs="Arial"/>
          <w:color w:val="000000"/>
        </w:rPr>
        <w:t xml:space="preserve"> platební morálky. </w:t>
      </w:r>
    </w:p>
    <w:p w14:paraId="61C7CC0D" w14:textId="77777777" w:rsidR="003D22D9" w:rsidRPr="00290C12" w:rsidRDefault="003D22D9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n-US"/>
        </w:rPr>
      </w:pPr>
    </w:p>
    <w:p w14:paraId="5A03B5F9" w14:textId="77777777" w:rsidR="0081299E" w:rsidRDefault="0081299E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808080"/>
        </w:rPr>
      </w:pPr>
    </w:p>
    <w:p w14:paraId="12B96AC2" w14:textId="7699E78C" w:rsidR="005442BF" w:rsidRDefault="00963E33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981A8"/>
        </w:rPr>
      </w:pPr>
      <w:r>
        <w:rPr>
          <w:rFonts w:ascii="Arial" w:eastAsia="Arial" w:hAnsi="Arial" w:cs="Arial"/>
          <w:color w:val="0981A8"/>
        </w:rPr>
        <w:t xml:space="preserve">O APNÚ </w:t>
      </w:r>
    </w:p>
    <w:p w14:paraId="6E4151B1" w14:textId="494FA16A" w:rsidR="005442BF" w:rsidRDefault="00963E33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808080"/>
        </w:rPr>
      </w:pPr>
      <w:r>
        <w:rPr>
          <w:rFonts w:ascii="Arial" w:eastAsia="Arial" w:hAnsi="Arial" w:cs="Arial"/>
          <w:color w:val="808080"/>
        </w:rPr>
        <w:t xml:space="preserve">Asociace poskytovatelů nebankovních úvěrů (APNÚ) je veřejná a nezávislá organizace sdružující poskytovatele nebankovních úvěrů v České republice. Posláním Asociace je vybudovat spolehlivou, společensky odpovědnou půjčovatelskou praxi zaměřenou na dlouhodobou spolupráci, která bude pozitivně vnímána spotřebiteli i tržním dozorem a bude poskytovat příležitost svobodného a bezpečného rozvoje každému jednotlivci a společnosti </w:t>
      </w:r>
      <w:r>
        <w:rPr>
          <w:rFonts w:ascii="Arial" w:eastAsia="Arial" w:hAnsi="Arial" w:cs="Arial"/>
          <w:color w:val="808080"/>
        </w:rPr>
        <w:lastRenderedPageBreak/>
        <w:t xml:space="preserve">formou nebankovních finančních řešení. APNÚ aktuálně sdružuje 15 členů. Více informací na </w:t>
      </w:r>
      <w:hyperlink r:id="rId15">
        <w:r w:rsidR="005442BF">
          <w:rPr>
            <w:rFonts w:ascii="Arial" w:eastAsia="Arial" w:hAnsi="Arial" w:cs="Arial"/>
            <w:color w:val="0563C1"/>
            <w:u w:val="single"/>
          </w:rPr>
          <w:t>www.apnu.cz</w:t>
        </w:r>
      </w:hyperlink>
      <w:r>
        <w:rPr>
          <w:rFonts w:ascii="Arial" w:eastAsia="Arial" w:hAnsi="Arial" w:cs="Arial"/>
          <w:color w:val="808080"/>
        </w:rPr>
        <w:t xml:space="preserve"> </w:t>
      </w:r>
    </w:p>
    <w:p w14:paraId="5AE7DC80" w14:textId="77777777" w:rsidR="005442BF" w:rsidRDefault="005442BF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1F18A01" w14:textId="77777777" w:rsidR="000C30C8" w:rsidRDefault="000C30C8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981A8"/>
        </w:rPr>
      </w:pPr>
      <w:r>
        <w:rPr>
          <w:rFonts w:ascii="Arial" w:eastAsia="Arial" w:hAnsi="Arial" w:cs="Arial"/>
          <w:color w:val="0981A8"/>
        </w:rPr>
        <w:t>O průzkumu</w:t>
      </w:r>
    </w:p>
    <w:p w14:paraId="1A48274D" w14:textId="77777777" w:rsidR="000C30C8" w:rsidRDefault="000C30C8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808080"/>
        </w:rPr>
      </w:pPr>
      <w:r w:rsidRPr="00B56A85">
        <w:rPr>
          <w:rFonts w:ascii="Arial" w:eastAsia="Arial" w:hAnsi="Arial" w:cs="Arial"/>
          <w:color w:val="808080"/>
        </w:rPr>
        <w:t>Sběr dat probíhal v únoru 2025 mezi zákazníky APNÚ</w:t>
      </w:r>
      <w:r>
        <w:rPr>
          <w:rFonts w:ascii="Arial" w:eastAsia="Arial" w:hAnsi="Arial" w:cs="Arial"/>
          <w:color w:val="808080"/>
        </w:rPr>
        <w:t xml:space="preserve"> formou online dotazování</w:t>
      </w:r>
      <w:r w:rsidRPr="00B56A85">
        <w:rPr>
          <w:rFonts w:ascii="Arial" w:eastAsia="Arial" w:hAnsi="Arial" w:cs="Arial"/>
          <w:color w:val="808080"/>
        </w:rPr>
        <w:t xml:space="preserve">, celkově odpovídalo 3 490 zákazníků nebankovních společností, které jsou členy APNÚ. </w:t>
      </w:r>
    </w:p>
    <w:p w14:paraId="0C02F53E" w14:textId="77777777" w:rsidR="005442BF" w:rsidRDefault="005442BF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70C0"/>
          <w:u w:val="single"/>
        </w:rPr>
      </w:pPr>
    </w:p>
    <w:p w14:paraId="11891E25" w14:textId="77777777" w:rsidR="0081299E" w:rsidRDefault="0081299E" w:rsidP="001412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70C0"/>
          <w:u w:val="single"/>
        </w:rPr>
      </w:pPr>
    </w:p>
    <w:p w14:paraId="28AD0E2F" w14:textId="4A73BAC0" w:rsidR="003F7507" w:rsidRDefault="00B246F9" w:rsidP="0014128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70C0"/>
          <w:u w:val="single"/>
        </w:rPr>
      </w:pPr>
      <w:r>
        <w:rPr>
          <w:rFonts w:ascii="Arial" w:eastAsia="Arial" w:hAnsi="Arial" w:cs="Arial"/>
          <w:color w:val="0070C0"/>
          <w:u w:val="single"/>
        </w:rPr>
        <w:t>________________________________________________________________</w:t>
      </w:r>
      <w:r w:rsidR="00933237">
        <w:rPr>
          <w:rFonts w:ascii="Arial" w:eastAsia="Arial" w:hAnsi="Arial" w:cs="Arial"/>
          <w:color w:val="0070C0"/>
          <w:u w:val="single"/>
        </w:rPr>
        <w:t>________</w:t>
      </w:r>
    </w:p>
    <w:p w14:paraId="25670B39" w14:textId="77777777" w:rsidR="003F7507" w:rsidRDefault="003F7507" w:rsidP="0014128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70C0"/>
          <w:u w:val="single"/>
        </w:rPr>
      </w:pPr>
    </w:p>
    <w:p w14:paraId="41F723DD" w14:textId="1DF56E21" w:rsidR="003F7507" w:rsidRDefault="003F7507" w:rsidP="0014128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iCs/>
          <w:color w:val="808080"/>
          <w:sz w:val="18"/>
          <w:szCs w:val="18"/>
        </w:rPr>
      </w:pPr>
      <w:r w:rsidRPr="002D57CE">
        <w:rPr>
          <w:rFonts w:ascii="Arial" w:eastAsia="Arial" w:hAnsi="Arial" w:cs="Arial"/>
          <w:i/>
          <w:iCs/>
          <w:color w:val="808080"/>
          <w:sz w:val="18"/>
          <w:szCs w:val="18"/>
        </w:rPr>
        <w:t>*</w:t>
      </w:r>
      <w:r w:rsidR="00B246F9">
        <w:rPr>
          <w:rFonts w:ascii="Arial" w:eastAsia="Arial" w:hAnsi="Arial" w:cs="Arial"/>
          <w:i/>
          <w:iCs/>
          <w:color w:val="808080"/>
          <w:sz w:val="18"/>
          <w:szCs w:val="18"/>
        </w:rPr>
        <w:t xml:space="preserve">Zdroj: </w:t>
      </w:r>
      <w:r w:rsidR="00B53B25">
        <w:rPr>
          <w:rFonts w:ascii="Arial" w:eastAsia="Arial" w:hAnsi="Arial" w:cs="Arial"/>
          <w:i/>
          <w:iCs/>
          <w:color w:val="808080"/>
          <w:sz w:val="18"/>
          <w:szCs w:val="18"/>
        </w:rPr>
        <w:t>CETA: dotazníkové šetření mezi</w:t>
      </w:r>
      <w:r w:rsidR="008639A6" w:rsidRPr="002D57CE">
        <w:rPr>
          <w:rFonts w:ascii="Arial" w:eastAsia="Arial" w:hAnsi="Arial" w:cs="Arial"/>
          <w:i/>
          <w:iCs/>
          <w:color w:val="808080"/>
          <w:sz w:val="18"/>
          <w:szCs w:val="18"/>
        </w:rPr>
        <w:t xml:space="preserve"> 11 členský</w:t>
      </w:r>
      <w:r w:rsidR="00B53B25">
        <w:rPr>
          <w:rFonts w:ascii="Arial" w:eastAsia="Arial" w:hAnsi="Arial" w:cs="Arial"/>
          <w:i/>
          <w:iCs/>
          <w:color w:val="808080"/>
          <w:sz w:val="18"/>
          <w:szCs w:val="18"/>
        </w:rPr>
        <w:t>mi</w:t>
      </w:r>
      <w:r w:rsidR="008639A6" w:rsidRPr="002D57CE">
        <w:rPr>
          <w:rFonts w:ascii="Arial" w:eastAsia="Arial" w:hAnsi="Arial" w:cs="Arial"/>
          <w:i/>
          <w:iCs/>
          <w:color w:val="808080"/>
          <w:sz w:val="18"/>
          <w:szCs w:val="18"/>
        </w:rPr>
        <w:t xml:space="preserve"> společnost</w:t>
      </w:r>
      <w:r w:rsidR="00B53B25">
        <w:rPr>
          <w:rFonts w:ascii="Arial" w:eastAsia="Arial" w:hAnsi="Arial" w:cs="Arial"/>
          <w:i/>
          <w:iCs/>
          <w:color w:val="808080"/>
          <w:sz w:val="18"/>
          <w:szCs w:val="18"/>
        </w:rPr>
        <w:t>mi</w:t>
      </w:r>
      <w:r w:rsidR="008639A6" w:rsidRPr="002D57CE">
        <w:rPr>
          <w:rFonts w:ascii="Arial" w:eastAsia="Arial" w:hAnsi="Arial" w:cs="Arial"/>
          <w:i/>
          <w:iCs/>
          <w:color w:val="808080"/>
          <w:sz w:val="18"/>
          <w:szCs w:val="18"/>
        </w:rPr>
        <w:t xml:space="preserve"> APNÚ</w:t>
      </w:r>
      <w:r w:rsidR="002E3600" w:rsidRPr="002D57CE">
        <w:rPr>
          <w:rFonts w:ascii="Arial" w:eastAsia="Arial" w:hAnsi="Arial" w:cs="Arial"/>
          <w:i/>
          <w:iCs/>
          <w:color w:val="808080"/>
          <w:sz w:val="18"/>
          <w:szCs w:val="18"/>
        </w:rPr>
        <w:t>. Jedná se o vážený průměr</w:t>
      </w:r>
      <w:r w:rsidR="002D57CE" w:rsidRPr="002D57CE">
        <w:rPr>
          <w:rFonts w:ascii="Arial" w:eastAsia="Arial" w:hAnsi="Arial" w:cs="Arial"/>
          <w:i/>
          <w:iCs/>
          <w:color w:val="808080"/>
          <w:sz w:val="18"/>
          <w:szCs w:val="18"/>
        </w:rPr>
        <w:t xml:space="preserve">, který </w:t>
      </w:r>
      <w:r w:rsidR="002E3600" w:rsidRPr="002D57CE">
        <w:rPr>
          <w:rFonts w:ascii="Arial" w:eastAsia="Arial" w:hAnsi="Arial" w:cs="Arial"/>
          <w:i/>
          <w:iCs/>
          <w:color w:val="808080"/>
          <w:sz w:val="18"/>
          <w:szCs w:val="18"/>
        </w:rPr>
        <w:t>zohled</w:t>
      </w:r>
      <w:r w:rsidR="002D57CE" w:rsidRPr="002D57CE">
        <w:rPr>
          <w:rFonts w:ascii="Arial" w:eastAsia="Arial" w:hAnsi="Arial" w:cs="Arial"/>
          <w:i/>
          <w:iCs/>
          <w:color w:val="808080"/>
          <w:sz w:val="18"/>
          <w:szCs w:val="18"/>
        </w:rPr>
        <w:t>ňuje</w:t>
      </w:r>
      <w:r w:rsidR="002E3600" w:rsidRPr="002D57CE">
        <w:rPr>
          <w:rFonts w:ascii="Arial" w:eastAsia="Arial" w:hAnsi="Arial" w:cs="Arial"/>
          <w:i/>
          <w:iCs/>
          <w:color w:val="808080"/>
          <w:sz w:val="18"/>
          <w:szCs w:val="18"/>
        </w:rPr>
        <w:t xml:space="preserve"> podíl objemu poskytnutých úvěrů dané firmy na celkovém objemu poskytnutých úvěrů celého vzorku respondentů</w:t>
      </w:r>
      <w:r w:rsidR="002D57CE" w:rsidRPr="002D57CE">
        <w:rPr>
          <w:rFonts w:ascii="Arial" w:eastAsia="Arial" w:hAnsi="Arial" w:cs="Arial"/>
          <w:i/>
          <w:iCs/>
          <w:color w:val="808080"/>
          <w:sz w:val="18"/>
          <w:szCs w:val="18"/>
        </w:rPr>
        <w:t>.</w:t>
      </w:r>
    </w:p>
    <w:p w14:paraId="68BAEB0D" w14:textId="77777777" w:rsidR="002D57CE" w:rsidRPr="002D57CE" w:rsidRDefault="002D57CE" w:rsidP="0014128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iCs/>
          <w:color w:val="808080"/>
          <w:sz w:val="18"/>
          <w:szCs w:val="18"/>
        </w:rPr>
      </w:pPr>
    </w:p>
    <w:p w14:paraId="03BF64FC" w14:textId="3300301A" w:rsidR="0081299E" w:rsidRDefault="002D57CE" w:rsidP="0014128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iCs/>
          <w:color w:val="808080"/>
          <w:sz w:val="18"/>
          <w:szCs w:val="18"/>
        </w:rPr>
      </w:pPr>
      <w:r w:rsidRPr="002D57CE">
        <w:rPr>
          <w:rFonts w:ascii="Arial" w:eastAsia="Arial" w:hAnsi="Arial" w:cs="Arial"/>
          <w:i/>
          <w:iCs/>
          <w:color w:val="808080"/>
          <w:sz w:val="18"/>
          <w:szCs w:val="18"/>
        </w:rPr>
        <w:t>**</w:t>
      </w:r>
      <w:r w:rsidR="009B191E">
        <w:rPr>
          <w:rFonts w:ascii="Arial" w:eastAsia="Arial" w:hAnsi="Arial" w:cs="Arial"/>
          <w:i/>
          <w:iCs/>
          <w:color w:val="808080"/>
          <w:sz w:val="18"/>
          <w:szCs w:val="18"/>
        </w:rPr>
        <w:t xml:space="preserve">Zdroj: </w:t>
      </w:r>
      <w:proofErr w:type="spellStart"/>
      <w:r w:rsidR="00762854">
        <w:rPr>
          <w:rFonts w:ascii="Arial" w:eastAsia="Arial" w:hAnsi="Arial" w:cs="Arial"/>
          <w:i/>
          <w:iCs/>
          <w:color w:val="808080"/>
          <w:sz w:val="18"/>
          <w:szCs w:val="18"/>
        </w:rPr>
        <w:t>Credit</w:t>
      </w:r>
      <w:r w:rsidR="00EE5599">
        <w:rPr>
          <w:rFonts w:ascii="Arial" w:eastAsia="Arial" w:hAnsi="Arial" w:cs="Arial"/>
          <w:i/>
          <w:iCs/>
          <w:color w:val="808080"/>
          <w:sz w:val="18"/>
          <w:szCs w:val="18"/>
        </w:rPr>
        <w:t>i</w:t>
      </w:r>
      <w:r w:rsidR="00762854">
        <w:rPr>
          <w:rFonts w:ascii="Arial" w:eastAsia="Arial" w:hAnsi="Arial" w:cs="Arial"/>
          <w:i/>
          <w:iCs/>
          <w:color w:val="808080"/>
          <w:sz w:val="18"/>
          <w:szCs w:val="18"/>
        </w:rPr>
        <w:t>nfo</w:t>
      </w:r>
      <w:proofErr w:type="spellEnd"/>
      <w:r w:rsidR="00762854">
        <w:rPr>
          <w:rFonts w:ascii="Arial" w:eastAsia="Arial" w:hAnsi="Arial" w:cs="Arial"/>
          <w:i/>
          <w:iCs/>
          <w:color w:val="808080"/>
          <w:sz w:val="18"/>
          <w:szCs w:val="18"/>
        </w:rPr>
        <w:t xml:space="preserve">: </w:t>
      </w:r>
      <w:r w:rsidR="009B191E">
        <w:rPr>
          <w:rFonts w:ascii="Arial" w:eastAsia="Arial" w:hAnsi="Arial" w:cs="Arial"/>
          <w:i/>
          <w:iCs/>
          <w:color w:val="808080"/>
          <w:sz w:val="18"/>
          <w:szCs w:val="18"/>
        </w:rPr>
        <w:t>APNÚ Registr (údaj od 11 členských společností APNÚ)</w:t>
      </w:r>
    </w:p>
    <w:p w14:paraId="6B2D3557" w14:textId="77777777" w:rsidR="009B191E" w:rsidRPr="002D57CE" w:rsidRDefault="009B191E" w:rsidP="0014128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iCs/>
          <w:color w:val="0070C0"/>
          <w:sz w:val="18"/>
          <w:szCs w:val="18"/>
          <w:u w:val="single"/>
        </w:rPr>
      </w:pPr>
    </w:p>
    <w:p w14:paraId="52C206E3" w14:textId="552BF1B1" w:rsidR="0081299E" w:rsidRDefault="00762854" w:rsidP="0014128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70C0"/>
          <w:u w:val="single"/>
        </w:rPr>
      </w:pPr>
      <w:r w:rsidRPr="002D57CE">
        <w:rPr>
          <w:rFonts w:ascii="Arial" w:eastAsia="Arial" w:hAnsi="Arial" w:cs="Arial"/>
          <w:i/>
          <w:iCs/>
          <w:color w:val="808080"/>
          <w:sz w:val="18"/>
          <w:szCs w:val="18"/>
        </w:rPr>
        <w:t>**</w:t>
      </w:r>
      <w:r>
        <w:rPr>
          <w:rFonts w:ascii="Arial" w:eastAsia="Arial" w:hAnsi="Arial" w:cs="Arial"/>
          <w:i/>
          <w:iCs/>
          <w:color w:val="808080"/>
          <w:sz w:val="18"/>
          <w:szCs w:val="18"/>
        </w:rPr>
        <w:t xml:space="preserve">Zdroj: </w:t>
      </w:r>
      <w:r w:rsidR="00334848">
        <w:rPr>
          <w:rFonts w:ascii="Arial" w:eastAsia="Arial" w:hAnsi="Arial" w:cs="Arial"/>
          <w:i/>
          <w:iCs/>
          <w:color w:val="808080"/>
          <w:sz w:val="18"/>
          <w:szCs w:val="18"/>
        </w:rPr>
        <w:t>CETA: dotazníkové šetření mezi 11 členy APNÚ</w:t>
      </w:r>
    </w:p>
    <w:p w14:paraId="249E0994" w14:textId="77777777" w:rsidR="0081299E" w:rsidRDefault="0081299E" w:rsidP="0014128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70C0"/>
          <w:u w:val="single"/>
        </w:rPr>
      </w:pPr>
    </w:p>
    <w:p w14:paraId="47F8E929" w14:textId="77777777" w:rsidR="0081299E" w:rsidRDefault="0081299E" w:rsidP="0014128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70C0"/>
          <w:u w:val="single"/>
        </w:rPr>
      </w:pPr>
    </w:p>
    <w:p w14:paraId="60F4EC6E" w14:textId="74DB5418" w:rsidR="0081299E" w:rsidRDefault="003F7507" w:rsidP="0014128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70C0"/>
          <w:u w:val="single"/>
        </w:rPr>
      </w:pPr>
      <w:r>
        <w:rPr>
          <w:rFonts w:ascii="Arial" w:eastAsia="Arial" w:hAnsi="Arial" w:cs="Arial"/>
          <w:color w:val="0070C0"/>
          <w:u w:val="single"/>
        </w:rPr>
        <w:t xml:space="preserve">                                                                                                                                   </w:t>
      </w:r>
    </w:p>
    <w:p w14:paraId="3D73D8C3" w14:textId="796F02A6" w:rsidR="003F7507" w:rsidRPr="0081299E" w:rsidRDefault="003F7507" w:rsidP="0014128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70C0"/>
          <w:u w:val="single"/>
        </w:rPr>
      </w:pPr>
    </w:p>
    <w:sectPr w:rsidR="003F7507" w:rsidRPr="0081299E" w:rsidSect="006C6E44">
      <w:headerReference w:type="default" r:id="rId16"/>
      <w:footerReference w:type="default" r:id="rId17"/>
      <w:pgSz w:w="11906" w:h="16838"/>
      <w:pgMar w:top="1560" w:right="1418" w:bottom="1276" w:left="1560" w:header="993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1AFA0" w14:textId="77777777" w:rsidR="00023ABC" w:rsidRDefault="00023ABC">
      <w:pPr>
        <w:spacing w:after="0" w:line="240" w:lineRule="auto"/>
      </w:pPr>
      <w:r>
        <w:separator/>
      </w:r>
    </w:p>
  </w:endnote>
  <w:endnote w:type="continuationSeparator" w:id="0">
    <w:p w14:paraId="214D09BE" w14:textId="77777777" w:rsidR="00023ABC" w:rsidRDefault="00023ABC">
      <w:pPr>
        <w:spacing w:after="0" w:line="240" w:lineRule="auto"/>
      </w:pPr>
      <w:r>
        <w:continuationSeparator/>
      </w:r>
    </w:p>
  </w:endnote>
  <w:endnote w:type="continuationNotice" w:id="1">
    <w:p w14:paraId="5330DC7D" w14:textId="77777777" w:rsidR="00023ABC" w:rsidRDefault="00023A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Calibri"/>
    <w:charset w:val="00"/>
    <w:family w:val="modern"/>
    <w:pitch w:val="variable"/>
    <w:sig w:usb0="A000007F" w:usb1="0000004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259D" w14:textId="77777777" w:rsidR="005442BF" w:rsidRDefault="00963E33">
    <w:pPr>
      <w:spacing w:after="0" w:line="276" w:lineRule="auto"/>
      <w:rPr>
        <w:rFonts w:ascii="Arial" w:eastAsia="Arial" w:hAnsi="Arial" w:cs="Arial"/>
        <w:b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0C98067D" wp14:editId="3F3D9851">
              <wp:simplePos x="0" y="0"/>
              <wp:positionH relativeFrom="column">
                <wp:posOffset>2654300</wp:posOffset>
              </wp:positionH>
              <wp:positionV relativeFrom="paragraph">
                <wp:posOffset>0</wp:posOffset>
              </wp:positionV>
              <wp:extent cx="3190875" cy="860425"/>
              <wp:effectExtent l="0" t="0" r="0" b="0"/>
              <wp:wrapNone/>
              <wp:docPr id="1968561241" name="Rectangle 1968561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55325" y="3354550"/>
                        <a:ext cx="318135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C87AA" w14:textId="77777777" w:rsidR="005442BF" w:rsidRDefault="00963E3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A8"/>
                              <w:sz w:val="20"/>
                              <w:highlight w:val="white"/>
                            </w:rPr>
                            <w:t>Asociace poskytovatelů nebankovních úvěrů, z.s.</w:t>
                          </w:r>
                        </w:p>
                        <w:p w14:paraId="4D4D6783" w14:textId="77777777" w:rsidR="005442BF" w:rsidRDefault="00963E3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Revoluční 1403/28, Nové Město, 110 00 Praha 1</w:t>
                          </w:r>
                        </w:p>
                        <w:p w14:paraId="2D88F5DE" w14:textId="77777777" w:rsidR="005442BF" w:rsidRDefault="00963E3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IČO: 027 34 311</w:t>
                          </w:r>
                        </w:p>
                        <w:p w14:paraId="7A4D00FD" w14:textId="77777777" w:rsidR="005442BF" w:rsidRDefault="005442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98067D" id="Rectangle 1968561241" o:spid="_x0000_s1027" style="position:absolute;margin-left:209pt;margin-top:0;width:251.25pt;height:67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" filled="f" stroked="f">
              <v:textbox inset="0,0,0,0">
                <w:txbxContent>
                  <w:p w14:paraId="5EDC87AA" w14:textId="77777777" w:rsidR="005442BF" w:rsidRDefault="00963E3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A8"/>
                        <w:sz w:val="20"/>
                        <w:highlight w:val="white"/>
                      </w:rPr>
                      <w:t>Asociace poskytovatelů nebankovních úvěrů, z.s.</w:t>
                    </w:r>
                  </w:p>
                  <w:p w14:paraId="4D4D6783" w14:textId="77777777" w:rsidR="005442BF" w:rsidRDefault="00963E3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Revoluční 1403/28, Nové Město, 110 00 Praha 1</w:t>
                    </w:r>
                  </w:p>
                  <w:p w14:paraId="2D88F5DE" w14:textId="77777777" w:rsidR="005442BF" w:rsidRDefault="00963E3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IČO: 027 34 311</w:t>
                    </w:r>
                  </w:p>
                  <w:p w14:paraId="7A4D00FD" w14:textId="77777777" w:rsidR="005442BF" w:rsidRDefault="005442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FB3CDFA" w14:textId="77777777" w:rsidR="005442BF" w:rsidRDefault="00963E33">
    <w:pPr>
      <w:spacing w:after="60" w:line="240" w:lineRule="auto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Jana Pikardová</w:t>
    </w:r>
    <w:r>
      <w:rPr>
        <w:rFonts w:ascii="Arial" w:eastAsia="Arial" w:hAnsi="Arial" w:cs="Arial"/>
        <w:b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t>| kontakt pro média</w:t>
    </w:r>
  </w:p>
  <w:p w14:paraId="6FF1D6C5" w14:textId="77777777" w:rsidR="005442BF" w:rsidRDefault="00963E33">
    <w:pPr>
      <w:spacing w:after="0" w:line="276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+420 724 573 665</w:t>
    </w:r>
  </w:p>
  <w:p w14:paraId="2BC93370" w14:textId="77777777" w:rsidR="005442BF" w:rsidRDefault="00963E33">
    <w:pPr>
      <w:spacing w:after="6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jana.pikardova@apnu.cz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F2C90" w14:textId="77777777" w:rsidR="00023ABC" w:rsidRDefault="00023ABC">
      <w:pPr>
        <w:spacing w:after="0" w:line="240" w:lineRule="auto"/>
      </w:pPr>
      <w:r>
        <w:separator/>
      </w:r>
    </w:p>
  </w:footnote>
  <w:footnote w:type="continuationSeparator" w:id="0">
    <w:p w14:paraId="63D66BED" w14:textId="77777777" w:rsidR="00023ABC" w:rsidRDefault="00023ABC">
      <w:pPr>
        <w:spacing w:after="0" w:line="240" w:lineRule="auto"/>
      </w:pPr>
      <w:r>
        <w:continuationSeparator/>
      </w:r>
    </w:p>
  </w:footnote>
  <w:footnote w:type="continuationNotice" w:id="1">
    <w:p w14:paraId="3386FFB5" w14:textId="77777777" w:rsidR="00023ABC" w:rsidRDefault="00023A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9CA71" w14:textId="44F9A812" w:rsidR="005442BF" w:rsidRDefault="00963E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4B69423" wp14:editId="7568EFA8">
              <wp:simplePos x="0" y="0"/>
              <wp:positionH relativeFrom="leftMargin">
                <wp:posOffset>-4761</wp:posOffset>
              </wp:positionH>
              <wp:positionV relativeFrom="topMargin">
                <wp:posOffset>-4761</wp:posOffset>
              </wp:positionV>
              <wp:extent cx="1028325" cy="10701525"/>
              <wp:effectExtent l="0" t="0" r="0" b="0"/>
              <wp:wrapNone/>
              <wp:docPr id="1968561240" name="Rectangle 1968561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36600" y="0"/>
                        <a:ext cx="1018800" cy="75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92A07" w14:textId="77777777" w:rsidR="005442BF" w:rsidRDefault="005442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69423" id="Rectangle 1968561240" o:spid="_x0000_s1026" style="position:absolute;margin-left:-.35pt;margin-top:-.35pt;width:80.95pt;height:842.65pt;z-index:2516582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" filled="f" stroked="f">
              <v:textbox inset="2.53958mm,2.53958mm,2.53958mm,2.53958mm">
                <w:txbxContent>
                  <w:p w14:paraId="39092A07" w14:textId="77777777" w:rsidR="005442BF" w:rsidRDefault="005442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F4CEC"/>
    <w:multiLevelType w:val="hybridMultilevel"/>
    <w:tmpl w:val="91B8E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B4935"/>
    <w:multiLevelType w:val="multilevel"/>
    <w:tmpl w:val="83D0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2D334F"/>
    <w:multiLevelType w:val="hybridMultilevel"/>
    <w:tmpl w:val="4692BD0A"/>
    <w:lvl w:ilvl="0" w:tplc="AADC3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3E57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4E2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386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24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14C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522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A8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90E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44761161">
    <w:abstractNumId w:val="0"/>
  </w:num>
  <w:num w:numId="2" w16cid:durableId="596910036">
    <w:abstractNumId w:val="1"/>
  </w:num>
  <w:num w:numId="3" w16cid:durableId="1363508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BF"/>
    <w:rsid w:val="00001356"/>
    <w:rsid w:val="00007900"/>
    <w:rsid w:val="00007DE6"/>
    <w:rsid w:val="00023ABC"/>
    <w:rsid w:val="00024A72"/>
    <w:rsid w:val="00024E46"/>
    <w:rsid w:val="000326DC"/>
    <w:rsid w:val="00040ADE"/>
    <w:rsid w:val="00044FC3"/>
    <w:rsid w:val="0005384E"/>
    <w:rsid w:val="00053AA1"/>
    <w:rsid w:val="00057EA3"/>
    <w:rsid w:val="000714A5"/>
    <w:rsid w:val="00072F25"/>
    <w:rsid w:val="00075E2E"/>
    <w:rsid w:val="0007767F"/>
    <w:rsid w:val="000776BF"/>
    <w:rsid w:val="00093289"/>
    <w:rsid w:val="000979A0"/>
    <w:rsid w:val="000A56CE"/>
    <w:rsid w:val="000A5CD2"/>
    <w:rsid w:val="000A7812"/>
    <w:rsid w:val="000A7AB8"/>
    <w:rsid w:val="000A7DC8"/>
    <w:rsid w:val="000B7A9D"/>
    <w:rsid w:val="000C22CC"/>
    <w:rsid w:val="000C30C8"/>
    <w:rsid w:val="000C729A"/>
    <w:rsid w:val="000D0A4A"/>
    <w:rsid w:val="000D0EF6"/>
    <w:rsid w:val="000D11AA"/>
    <w:rsid w:val="000D335A"/>
    <w:rsid w:val="000E03BC"/>
    <w:rsid w:val="000E614F"/>
    <w:rsid w:val="000F373B"/>
    <w:rsid w:val="000F74A7"/>
    <w:rsid w:val="0011072B"/>
    <w:rsid w:val="001114DE"/>
    <w:rsid w:val="001258A3"/>
    <w:rsid w:val="00130192"/>
    <w:rsid w:val="001302EF"/>
    <w:rsid w:val="001324EF"/>
    <w:rsid w:val="001374F7"/>
    <w:rsid w:val="00141283"/>
    <w:rsid w:val="001436A1"/>
    <w:rsid w:val="00144F20"/>
    <w:rsid w:val="00145FDA"/>
    <w:rsid w:val="0014664C"/>
    <w:rsid w:val="00151035"/>
    <w:rsid w:val="00152419"/>
    <w:rsid w:val="00152C58"/>
    <w:rsid w:val="00156F6C"/>
    <w:rsid w:val="00170DDC"/>
    <w:rsid w:val="001711FC"/>
    <w:rsid w:val="00174907"/>
    <w:rsid w:val="00175B04"/>
    <w:rsid w:val="00177043"/>
    <w:rsid w:val="00177A87"/>
    <w:rsid w:val="00177F12"/>
    <w:rsid w:val="00181F98"/>
    <w:rsid w:val="00193274"/>
    <w:rsid w:val="00195175"/>
    <w:rsid w:val="001A3438"/>
    <w:rsid w:val="001A6B62"/>
    <w:rsid w:val="001B3DDF"/>
    <w:rsid w:val="001B65DF"/>
    <w:rsid w:val="001D0F07"/>
    <w:rsid w:val="001E1364"/>
    <w:rsid w:val="001E46E0"/>
    <w:rsid w:val="001F257C"/>
    <w:rsid w:val="001F33A5"/>
    <w:rsid w:val="001F3436"/>
    <w:rsid w:val="001F456C"/>
    <w:rsid w:val="001F6E94"/>
    <w:rsid w:val="002012A3"/>
    <w:rsid w:val="002044BE"/>
    <w:rsid w:val="00206D2B"/>
    <w:rsid w:val="00213837"/>
    <w:rsid w:val="00215371"/>
    <w:rsid w:val="0021602E"/>
    <w:rsid w:val="00216FAB"/>
    <w:rsid w:val="002251E7"/>
    <w:rsid w:val="00225732"/>
    <w:rsid w:val="00231954"/>
    <w:rsid w:val="002350FD"/>
    <w:rsid w:val="0023522C"/>
    <w:rsid w:val="00240A36"/>
    <w:rsid w:val="0024193A"/>
    <w:rsid w:val="00241BDF"/>
    <w:rsid w:val="00242C34"/>
    <w:rsid w:val="00256DE5"/>
    <w:rsid w:val="002575C8"/>
    <w:rsid w:val="002645F2"/>
    <w:rsid w:val="00265E0B"/>
    <w:rsid w:val="00267603"/>
    <w:rsid w:val="00276501"/>
    <w:rsid w:val="00282FEF"/>
    <w:rsid w:val="00283939"/>
    <w:rsid w:val="00283C1D"/>
    <w:rsid w:val="00285924"/>
    <w:rsid w:val="002859EE"/>
    <w:rsid w:val="00290C12"/>
    <w:rsid w:val="00291178"/>
    <w:rsid w:val="002948D9"/>
    <w:rsid w:val="00295012"/>
    <w:rsid w:val="00295892"/>
    <w:rsid w:val="002A01AA"/>
    <w:rsid w:val="002A5927"/>
    <w:rsid w:val="002B7D95"/>
    <w:rsid w:val="002C2573"/>
    <w:rsid w:val="002C5980"/>
    <w:rsid w:val="002C6CB2"/>
    <w:rsid w:val="002D57CE"/>
    <w:rsid w:val="002E1F7C"/>
    <w:rsid w:val="002E3600"/>
    <w:rsid w:val="00300508"/>
    <w:rsid w:val="00305CA8"/>
    <w:rsid w:val="00305EAF"/>
    <w:rsid w:val="00310D23"/>
    <w:rsid w:val="00311778"/>
    <w:rsid w:val="0032453E"/>
    <w:rsid w:val="00330EFB"/>
    <w:rsid w:val="0033229F"/>
    <w:rsid w:val="00333B0B"/>
    <w:rsid w:val="00334848"/>
    <w:rsid w:val="00340865"/>
    <w:rsid w:val="0034485B"/>
    <w:rsid w:val="003719B8"/>
    <w:rsid w:val="0037492F"/>
    <w:rsid w:val="00377CCF"/>
    <w:rsid w:val="0038047D"/>
    <w:rsid w:val="00381200"/>
    <w:rsid w:val="003851B9"/>
    <w:rsid w:val="003867BE"/>
    <w:rsid w:val="00386B5D"/>
    <w:rsid w:val="00396869"/>
    <w:rsid w:val="003A01B0"/>
    <w:rsid w:val="003A04C8"/>
    <w:rsid w:val="003B16E8"/>
    <w:rsid w:val="003B510A"/>
    <w:rsid w:val="003B5ACF"/>
    <w:rsid w:val="003C1D60"/>
    <w:rsid w:val="003C6806"/>
    <w:rsid w:val="003C68D8"/>
    <w:rsid w:val="003D01C5"/>
    <w:rsid w:val="003D22D9"/>
    <w:rsid w:val="003D3A65"/>
    <w:rsid w:val="003D4032"/>
    <w:rsid w:val="003D7E6B"/>
    <w:rsid w:val="003E1645"/>
    <w:rsid w:val="003E5502"/>
    <w:rsid w:val="003E6910"/>
    <w:rsid w:val="003E7A8E"/>
    <w:rsid w:val="003F3A9B"/>
    <w:rsid w:val="003F7507"/>
    <w:rsid w:val="004020C5"/>
    <w:rsid w:val="00402B0B"/>
    <w:rsid w:val="00405F2D"/>
    <w:rsid w:val="004216CE"/>
    <w:rsid w:val="0043483B"/>
    <w:rsid w:val="00436BC9"/>
    <w:rsid w:val="00436E14"/>
    <w:rsid w:val="0044290E"/>
    <w:rsid w:val="0044375D"/>
    <w:rsid w:val="00445A34"/>
    <w:rsid w:val="00445AB1"/>
    <w:rsid w:val="004515D2"/>
    <w:rsid w:val="00451D31"/>
    <w:rsid w:val="00454E58"/>
    <w:rsid w:val="00460820"/>
    <w:rsid w:val="00460DCB"/>
    <w:rsid w:val="004805DE"/>
    <w:rsid w:val="004836FA"/>
    <w:rsid w:val="0049225C"/>
    <w:rsid w:val="0049350A"/>
    <w:rsid w:val="004956A6"/>
    <w:rsid w:val="00496180"/>
    <w:rsid w:val="004A690B"/>
    <w:rsid w:val="004A77BC"/>
    <w:rsid w:val="004B06DB"/>
    <w:rsid w:val="004B28CE"/>
    <w:rsid w:val="004C45A1"/>
    <w:rsid w:val="004D037B"/>
    <w:rsid w:val="004D2F30"/>
    <w:rsid w:val="004D3A01"/>
    <w:rsid w:val="004E0D69"/>
    <w:rsid w:val="004E346B"/>
    <w:rsid w:val="004E37C2"/>
    <w:rsid w:val="004E7D8E"/>
    <w:rsid w:val="004F2605"/>
    <w:rsid w:val="005065D7"/>
    <w:rsid w:val="00510F0F"/>
    <w:rsid w:val="00521A70"/>
    <w:rsid w:val="00530487"/>
    <w:rsid w:val="0053427E"/>
    <w:rsid w:val="00536C6A"/>
    <w:rsid w:val="005400C0"/>
    <w:rsid w:val="005442BF"/>
    <w:rsid w:val="00554607"/>
    <w:rsid w:val="0055513E"/>
    <w:rsid w:val="005639EF"/>
    <w:rsid w:val="005647A3"/>
    <w:rsid w:val="005774BE"/>
    <w:rsid w:val="00582288"/>
    <w:rsid w:val="00583E20"/>
    <w:rsid w:val="00587BB0"/>
    <w:rsid w:val="00591DD8"/>
    <w:rsid w:val="00593996"/>
    <w:rsid w:val="005A0B9B"/>
    <w:rsid w:val="005A0E66"/>
    <w:rsid w:val="005A4A79"/>
    <w:rsid w:val="005A5C6E"/>
    <w:rsid w:val="005B1775"/>
    <w:rsid w:val="005B3133"/>
    <w:rsid w:val="005B3623"/>
    <w:rsid w:val="005B6C89"/>
    <w:rsid w:val="005C4935"/>
    <w:rsid w:val="005C54BF"/>
    <w:rsid w:val="005C74FD"/>
    <w:rsid w:val="005C7E7A"/>
    <w:rsid w:val="005D1F3E"/>
    <w:rsid w:val="005E1BF8"/>
    <w:rsid w:val="005E6568"/>
    <w:rsid w:val="005F0F23"/>
    <w:rsid w:val="005F32A7"/>
    <w:rsid w:val="00600916"/>
    <w:rsid w:val="0061038A"/>
    <w:rsid w:val="006118DC"/>
    <w:rsid w:val="00612DAA"/>
    <w:rsid w:val="00614D16"/>
    <w:rsid w:val="00626CC0"/>
    <w:rsid w:val="00630461"/>
    <w:rsid w:val="0063119D"/>
    <w:rsid w:val="0063153C"/>
    <w:rsid w:val="00635D74"/>
    <w:rsid w:val="00637545"/>
    <w:rsid w:val="00637B3E"/>
    <w:rsid w:val="00641F4F"/>
    <w:rsid w:val="00643173"/>
    <w:rsid w:val="0064529A"/>
    <w:rsid w:val="00656A2C"/>
    <w:rsid w:val="00662496"/>
    <w:rsid w:val="00663EE5"/>
    <w:rsid w:val="00684105"/>
    <w:rsid w:val="00691C1F"/>
    <w:rsid w:val="006A4F98"/>
    <w:rsid w:val="006A79A0"/>
    <w:rsid w:val="006A7A1F"/>
    <w:rsid w:val="006A7AA0"/>
    <w:rsid w:val="006B44F6"/>
    <w:rsid w:val="006B70DF"/>
    <w:rsid w:val="006B7A86"/>
    <w:rsid w:val="006C0D23"/>
    <w:rsid w:val="006C52FE"/>
    <w:rsid w:val="006C6E44"/>
    <w:rsid w:val="006C74F3"/>
    <w:rsid w:val="006D00AF"/>
    <w:rsid w:val="006D023B"/>
    <w:rsid w:val="006D7C45"/>
    <w:rsid w:val="006E2FA4"/>
    <w:rsid w:val="006E5BCF"/>
    <w:rsid w:val="006F0FEC"/>
    <w:rsid w:val="006F3A00"/>
    <w:rsid w:val="00700ED7"/>
    <w:rsid w:val="00701609"/>
    <w:rsid w:val="0070448A"/>
    <w:rsid w:val="0071678C"/>
    <w:rsid w:val="00716A8B"/>
    <w:rsid w:val="007370CD"/>
    <w:rsid w:val="007407AB"/>
    <w:rsid w:val="00744AC4"/>
    <w:rsid w:val="007452DA"/>
    <w:rsid w:val="0075094B"/>
    <w:rsid w:val="0075637C"/>
    <w:rsid w:val="00756503"/>
    <w:rsid w:val="00760B5A"/>
    <w:rsid w:val="00762854"/>
    <w:rsid w:val="007660B5"/>
    <w:rsid w:val="0077136D"/>
    <w:rsid w:val="00774F65"/>
    <w:rsid w:val="007762EA"/>
    <w:rsid w:val="00784C7E"/>
    <w:rsid w:val="00791899"/>
    <w:rsid w:val="007A02E3"/>
    <w:rsid w:val="007A3334"/>
    <w:rsid w:val="007A4CC3"/>
    <w:rsid w:val="007A6F1C"/>
    <w:rsid w:val="007B0DD3"/>
    <w:rsid w:val="007C5DBA"/>
    <w:rsid w:val="007C669A"/>
    <w:rsid w:val="007C7ECB"/>
    <w:rsid w:val="007D1B2B"/>
    <w:rsid w:val="007D20EC"/>
    <w:rsid w:val="007D3605"/>
    <w:rsid w:val="007D400E"/>
    <w:rsid w:val="007E6E19"/>
    <w:rsid w:val="007E716C"/>
    <w:rsid w:val="0080138E"/>
    <w:rsid w:val="00802C59"/>
    <w:rsid w:val="008056EE"/>
    <w:rsid w:val="00811E29"/>
    <w:rsid w:val="0081299E"/>
    <w:rsid w:val="00812E85"/>
    <w:rsid w:val="0081502E"/>
    <w:rsid w:val="00825034"/>
    <w:rsid w:val="00825359"/>
    <w:rsid w:val="00831FDF"/>
    <w:rsid w:val="008335C9"/>
    <w:rsid w:val="00840678"/>
    <w:rsid w:val="00861238"/>
    <w:rsid w:val="008613DB"/>
    <w:rsid w:val="00861E2D"/>
    <w:rsid w:val="008639A6"/>
    <w:rsid w:val="008644B4"/>
    <w:rsid w:val="0087273E"/>
    <w:rsid w:val="008841EC"/>
    <w:rsid w:val="00885D1D"/>
    <w:rsid w:val="0089167C"/>
    <w:rsid w:val="00897D4D"/>
    <w:rsid w:val="008B0E9F"/>
    <w:rsid w:val="008B1FD8"/>
    <w:rsid w:val="008C6679"/>
    <w:rsid w:val="008D11EF"/>
    <w:rsid w:val="008D35F2"/>
    <w:rsid w:val="008D6835"/>
    <w:rsid w:val="008E030B"/>
    <w:rsid w:val="008E598C"/>
    <w:rsid w:val="008F4DAB"/>
    <w:rsid w:val="008F63DE"/>
    <w:rsid w:val="00901B72"/>
    <w:rsid w:val="0090457C"/>
    <w:rsid w:val="009064D5"/>
    <w:rsid w:val="00913C35"/>
    <w:rsid w:val="00914D16"/>
    <w:rsid w:val="00920BA6"/>
    <w:rsid w:val="009240A7"/>
    <w:rsid w:val="009249B3"/>
    <w:rsid w:val="00930AAF"/>
    <w:rsid w:val="00933237"/>
    <w:rsid w:val="00941162"/>
    <w:rsid w:val="009428A6"/>
    <w:rsid w:val="00952166"/>
    <w:rsid w:val="00961B44"/>
    <w:rsid w:val="00961D76"/>
    <w:rsid w:val="00963E33"/>
    <w:rsid w:val="009643BD"/>
    <w:rsid w:val="0098238B"/>
    <w:rsid w:val="00985499"/>
    <w:rsid w:val="00993A1D"/>
    <w:rsid w:val="009B00C5"/>
    <w:rsid w:val="009B191E"/>
    <w:rsid w:val="009B57A9"/>
    <w:rsid w:val="009B6F86"/>
    <w:rsid w:val="009C689D"/>
    <w:rsid w:val="009C7520"/>
    <w:rsid w:val="009D63B4"/>
    <w:rsid w:val="009D71C7"/>
    <w:rsid w:val="009E23B1"/>
    <w:rsid w:val="009E37BB"/>
    <w:rsid w:val="009F65BD"/>
    <w:rsid w:val="00A04556"/>
    <w:rsid w:val="00A063BB"/>
    <w:rsid w:val="00A07A4C"/>
    <w:rsid w:val="00A1035C"/>
    <w:rsid w:val="00A12774"/>
    <w:rsid w:val="00A154D6"/>
    <w:rsid w:val="00A15BC4"/>
    <w:rsid w:val="00A266FF"/>
    <w:rsid w:val="00A314E6"/>
    <w:rsid w:val="00A41C1E"/>
    <w:rsid w:val="00A4234E"/>
    <w:rsid w:val="00A4745C"/>
    <w:rsid w:val="00A51595"/>
    <w:rsid w:val="00A5697F"/>
    <w:rsid w:val="00A60364"/>
    <w:rsid w:val="00A72B89"/>
    <w:rsid w:val="00A73861"/>
    <w:rsid w:val="00A80C91"/>
    <w:rsid w:val="00A81FE9"/>
    <w:rsid w:val="00A84A0C"/>
    <w:rsid w:val="00A85B43"/>
    <w:rsid w:val="00A867EF"/>
    <w:rsid w:val="00A959AA"/>
    <w:rsid w:val="00A97258"/>
    <w:rsid w:val="00AA56E5"/>
    <w:rsid w:val="00AA67F9"/>
    <w:rsid w:val="00AA78DD"/>
    <w:rsid w:val="00AA7FF5"/>
    <w:rsid w:val="00AB1AAB"/>
    <w:rsid w:val="00AC3F25"/>
    <w:rsid w:val="00AC439F"/>
    <w:rsid w:val="00AC5EA3"/>
    <w:rsid w:val="00AD6797"/>
    <w:rsid w:val="00AE0562"/>
    <w:rsid w:val="00AE3994"/>
    <w:rsid w:val="00AE4311"/>
    <w:rsid w:val="00AF04AC"/>
    <w:rsid w:val="00AF2DBC"/>
    <w:rsid w:val="00AF478A"/>
    <w:rsid w:val="00AF6BE9"/>
    <w:rsid w:val="00B000E1"/>
    <w:rsid w:val="00B02E2C"/>
    <w:rsid w:val="00B235B7"/>
    <w:rsid w:val="00B246F9"/>
    <w:rsid w:val="00B247BF"/>
    <w:rsid w:val="00B2734D"/>
    <w:rsid w:val="00B2779E"/>
    <w:rsid w:val="00B30C3D"/>
    <w:rsid w:val="00B310AF"/>
    <w:rsid w:val="00B329D7"/>
    <w:rsid w:val="00B33DE6"/>
    <w:rsid w:val="00B350C2"/>
    <w:rsid w:val="00B5328D"/>
    <w:rsid w:val="00B53B25"/>
    <w:rsid w:val="00B56748"/>
    <w:rsid w:val="00B56A85"/>
    <w:rsid w:val="00B57D31"/>
    <w:rsid w:val="00B63970"/>
    <w:rsid w:val="00B6613B"/>
    <w:rsid w:val="00B67E8E"/>
    <w:rsid w:val="00B82575"/>
    <w:rsid w:val="00B84AAB"/>
    <w:rsid w:val="00B87418"/>
    <w:rsid w:val="00B903E7"/>
    <w:rsid w:val="00B92B5C"/>
    <w:rsid w:val="00B956BE"/>
    <w:rsid w:val="00B96EAD"/>
    <w:rsid w:val="00BA03C5"/>
    <w:rsid w:val="00BA14F4"/>
    <w:rsid w:val="00BA59C6"/>
    <w:rsid w:val="00BB39EE"/>
    <w:rsid w:val="00BB49F6"/>
    <w:rsid w:val="00BC3D52"/>
    <w:rsid w:val="00BC42CD"/>
    <w:rsid w:val="00BC7366"/>
    <w:rsid w:val="00BD462F"/>
    <w:rsid w:val="00BD6BAE"/>
    <w:rsid w:val="00BE4B39"/>
    <w:rsid w:val="00BF4507"/>
    <w:rsid w:val="00BF5BCA"/>
    <w:rsid w:val="00C05537"/>
    <w:rsid w:val="00C06714"/>
    <w:rsid w:val="00C07A3A"/>
    <w:rsid w:val="00C132F0"/>
    <w:rsid w:val="00C16CE6"/>
    <w:rsid w:val="00C16EB4"/>
    <w:rsid w:val="00C16F2C"/>
    <w:rsid w:val="00C233EF"/>
    <w:rsid w:val="00C23F96"/>
    <w:rsid w:val="00C24BE9"/>
    <w:rsid w:val="00C301F8"/>
    <w:rsid w:val="00C35548"/>
    <w:rsid w:val="00C36BFF"/>
    <w:rsid w:val="00C402C9"/>
    <w:rsid w:val="00C40AB5"/>
    <w:rsid w:val="00C41ACF"/>
    <w:rsid w:val="00C45254"/>
    <w:rsid w:val="00C5060D"/>
    <w:rsid w:val="00C66E3E"/>
    <w:rsid w:val="00C67D3D"/>
    <w:rsid w:val="00C71093"/>
    <w:rsid w:val="00C7380F"/>
    <w:rsid w:val="00C75F07"/>
    <w:rsid w:val="00C849BD"/>
    <w:rsid w:val="00C84DD0"/>
    <w:rsid w:val="00C8584F"/>
    <w:rsid w:val="00C869F0"/>
    <w:rsid w:val="00C91036"/>
    <w:rsid w:val="00C974DE"/>
    <w:rsid w:val="00C978C2"/>
    <w:rsid w:val="00C97C01"/>
    <w:rsid w:val="00C97E00"/>
    <w:rsid w:val="00CA38E7"/>
    <w:rsid w:val="00CB1575"/>
    <w:rsid w:val="00CB1C6F"/>
    <w:rsid w:val="00CB67E2"/>
    <w:rsid w:val="00CB7380"/>
    <w:rsid w:val="00CC1621"/>
    <w:rsid w:val="00CC1FD4"/>
    <w:rsid w:val="00CC70CD"/>
    <w:rsid w:val="00CD43A4"/>
    <w:rsid w:val="00CE2CA6"/>
    <w:rsid w:val="00CE6485"/>
    <w:rsid w:val="00CE724A"/>
    <w:rsid w:val="00CE771F"/>
    <w:rsid w:val="00CF0D47"/>
    <w:rsid w:val="00D01D1D"/>
    <w:rsid w:val="00D064FA"/>
    <w:rsid w:val="00D06589"/>
    <w:rsid w:val="00D0779C"/>
    <w:rsid w:val="00D165E0"/>
    <w:rsid w:val="00D20872"/>
    <w:rsid w:val="00D214EF"/>
    <w:rsid w:val="00D2478B"/>
    <w:rsid w:val="00D25665"/>
    <w:rsid w:val="00D420C5"/>
    <w:rsid w:val="00D47D9F"/>
    <w:rsid w:val="00D50930"/>
    <w:rsid w:val="00D515C5"/>
    <w:rsid w:val="00D530C7"/>
    <w:rsid w:val="00D556DD"/>
    <w:rsid w:val="00D57000"/>
    <w:rsid w:val="00D6291D"/>
    <w:rsid w:val="00D63757"/>
    <w:rsid w:val="00D66B4A"/>
    <w:rsid w:val="00D80BCA"/>
    <w:rsid w:val="00D8147F"/>
    <w:rsid w:val="00D85186"/>
    <w:rsid w:val="00D93483"/>
    <w:rsid w:val="00D97812"/>
    <w:rsid w:val="00DA05FF"/>
    <w:rsid w:val="00DA52D6"/>
    <w:rsid w:val="00DA54D1"/>
    <w:rsid w:val="00DA56A5"/>
    <w:rsid w:val="00DA67FF"/>
    <w:rsid w:val="00DB0B6C"/>
    <w:rsid w:val="00DB2A4D"/>
    <w:rsid w:val="00DB5D7D"/>
    <w:rsid w:val="00DB6FCE"/>
    <w:rsid w:val="00DC381B"/>
    <w:rsid w:val="00DE14CF"/>
    <w:rsid w:val="00DE157F"/>
    <w:rsid w:val="00DE1C3B"/>
    <w:rsid w:val="00DE397E"/>
    <w:rsid w:val="00DE5F64"/>
    <w:rsid w:val="00DF3517"/>
    <w:rsid w:val="00E06115"/>
    <w:rsid w:val="00E12394"/>
    <w:rsid w:val="00E15FB2"/>
    <w:rsid w:val="00E21DE8"/>
    <w:rsid w:val="00E27E10"/>
    <w:rsid w:val="00E32AC5"/>
    <w:rsid w:val="00E32F8F"/>
    <w:rsid w:val="00E364F5"/>
    <w:rsid w:val="00E4506D"/>
    <w:rsid w:val="00E57EB4"/>
    <w:rsid w:val="00E6184D"/>
    <w:rsid w:val="00E64570"/>
    <w:rsid w:val="00E71922"/>
    <w:rsid w:val="00E71FA5"/>
    <w:rsid w:val="00E76DF7"/>
    <w:rsid w:val="00E828C2"/>
    <w:rsid w:val="00E84C38"/>
    <w:rsid w:val="00E908C9"/>
    <w:rsid w:val="00E95A4B"/>
    <w:rsid w:val="00EA00B7"/>
    <w:rsid w:val="00EA1DEA"/>
    <w:rsid w:val="00EA44EF"/>
    <w:rsid w:val="00EA681A"/>
    <w:rsid w:val="00EA7444"/>
    <w:rsid w:val="00EA7A86"/>
    <w:rsid w:val="00EB7478"/>
    <w:rsid w:val="00EC557E"/>
    <w:rsid w:val="00EC55B9"/>
    <w:rsid w:val="00ED18C4"/>
    <w:rsid w:val="00ED2F23"/>
    <w:rsid w:val="00EE0F0B"/>
    <w:rsid w:val="00EE5599"/>
    <w:rsid w:val="00EF1235"/>
    <w:rsid w:val="00F06222"/>
    <w:rsid w:val="00F0771C"/>
    <w:rsid w:val="00F16790"/>
    <w:rsid w:val="00F22256"/>
    <w:rsid w:val="00F26780"/>
    <w:rsid w:val="00F33567"/>
    <w:rsid w:val="00F35E9C"/>
    <w:rsid w:val="00F35F23"/>
    <w:rsid w:val="00F42316"/>
    <w:rsid w:val="00F554DE"/>
    <w:rsid w:val="00F62A01"/>
    <w:rsid w:val="00F65952"/>
    <w:rsid w:val="00F67B5F"/>
    <w:rsid w:val="00F801BC"/>
    <w:rsid w:val="00F8708C"/>
    <w:rsid w:val="00FB2F05"/>
    <w:rsid w:val="00FB38D1"/>
    <w:rsid w:val="00FC13B3"/>
    <w:rsid w:val="00FC1802"/>
    <w:rsid w:val="00FC22F5"/>
    <w:rsid w:val="00FD098D"/>
    <w:rsid w:val="00FD47E4"/>
    <w:rsid w:val="00FD67D1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BA93154"/>
  <w15:docId w15:val="{6113DF28-8012-C444-B054-EA6A62A4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DF34E3"/>
    <w:pPr>
      <w:keepNext/>
      <w:widowControl w:val="0"/>
      <w:spacing w:after="0" w:line="240" w:lineRule="auto"/>
    </w:pPr>
    <w:rPr>
      <w:rFonts w:ascii="Arial" w:hAnsi="Arial" w:cs="Arial"/>
      <w:b/>
      <w:bCs/>
      <w:color w:val="0EA1BD"/>
      <w:sz w:val="36"/>
      <w:szCs w:val="36"/>
      <w:shd w:val="clear" w:color="auto" w:fill="FFFFFF"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basedOn w:val="Standardnpsmoodstavce"/>
    <w:rsid w:val="00782FE9"/>
  </w:style>
  <w:style w:type="paragraph" w:styleId="Odstavecseseznamem">
    <w:name w:val="List Paragraph"/>
    <w:basedOn w:val="Normln"/>
    <w:uiPriority w:val="34"/>
    <w:qFormat/>
    <w:rsid w:val="006F286F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570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31AAE"/>
    <w:rPr>
      <w:color w:val="605E5C"/>
      <w:shd w:val="clear" w:color="auto" w:fill="E1DFDD"/>
    </w:rPr>
  </w:style>
  <w:style w:type="paragraph" w:styleId="Podnadpis0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1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5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5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2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3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9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7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1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8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pnu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9" ma:contentTypeDescription="Vytvoří nový dokument" ma:contentTypeScope="" ma:versionID="a246979057026e03611fb6c2c8a8a6f4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a214d07c749a5afc4856b9b5dbc99e53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rzqfqSqGs4j+tqtKrrufOgXoCg==">CgMxLjA4AHIhMVVteFdBZS1vYzFiT3puVFh5dHk3Mko5YkZvZjVMQ1NV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DF9CB-49A7-4765-BBD8-E0439CC6C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CA227-367C-442C-82BC-A2E98512EB4F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43B26D8-6D87-487E-8D56-AC14F141A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Links>
    <vt:vector size="6" baseType="variant"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http://www.apnu.cz/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 Adéla</dc:creator>
  <cp:lastModifiedBy>Hansen Adéla</cp:lastModifiedBy>
  <cp:revision>2</cp:revision>
  <dcterms:created xsi:type="dcterms:W3CDTF">2025-06-04T15:00:00Z</dcterms:created>
  <dcterms:modified xsi:type="dcterms:W3CDTF">2025-06-04T15:00:00Z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04dd32a02591345689e90e2a4949cb30764ca33a60c827ab3877298d5faf74c2</vt:lpwstr>
  </property>
</Properties>
</file>